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48C4D" w14:textId="5E29497B" w:rsidR="00F9658F" w:rsidRPr="000A18E8" w:rsidRDefault="00F9658F" w:rsidP="00F9658F">
      <w:pPr>
        <w:pStyle w:val="berschrift4"/>
        <w:rPr>
          <w:rFonts w:ascii="Verdana" w:hAnsi="Verdana" w:cs="Verdana"/>
          <w:lang w:val="de-DE"/>
        </w:rPr>
      </w:pPr>
      <w:r>
        <w:rPr>
          <w:rFonts w:ascii="Verdana" w:hAnsi="Verdana" w:cs="Verdana"/>
        </w:rPr>
        <w:t>WinAlldat Net IVDK 2.</w:t>
      </w:r>
      <w:r w:rsidR="00BA0DBA">
        <w:rPr>
          <w:rFonts w:ascii="Verdana" w:hAnsi="Verdana" w:cs="Verdana"/>
          <w:lang w:val="de-DE"/>
        </w:rPr>
        <w:t>1</w:t>
      </w:r>
      <w:r>
        <w:rPr>
          <w:rFonts w:ascii="Verdana" w:hAnsi="Verdana" w:cs="Verdana"/>
        </w:rPr>
        <w:t xml:space="preserve"> – Installation und Konfiguration</w:t>
      </w:r>
      <w:r w:rsidR="000A18E8">
        <w:rPr>
          <w:rFonts w:ascii="Verdana" w:hAnsi="Verdana" w:cs="Verdana"/>
          <w:lang w:val="de-DE"/>
        </w:rPr>
        <w:t xml:space="preserve"> R21</w:t>
      </w:r>
    </w:p>
    <w:p w14:paraId="1C373314" w14:textId="77777777" w:rsidR="00F9658F" w:rsidRDefault="00F9658F" w:rsidP="00F9658F">
      <w:pPr>
        <w:spacing w:after="0"/>
        <w:rPr>
          <w:b/>
          <w:bCs/>
        </w:rPr>
      </w:pPr>
    </w:p>
    <w:p w14:paraId="0CAF3639" w14:textId="7EA33616" w:rsidR="00F9658F" w:rsidRDefault="00F9658F" w:rsidP="00F9658F">
      <w:pPr>
        <w:spacing w:after="0"/>
        <w:rPr>
          <w:rStyle w:val="Hyperlink"/>
        </w:rPr>
      </w:pPr>
      <w:r>
        <w:rPr>
          <w:b/>
          <w:bCs/>
        </w:rPr>
        <w:t>Ausführliche IVDK Kontaktdaten und Links unter</w:t>
      </w:r>
      <w:r>
        <w:t xml:space="preserve"> </w:t>
      </w:r>
      <w:r w:rsidR="00745AE5">
        <w:tab/>
      </w:r>
      <w:r>
        <w:rPr>
          <w:rStyle w:val="Hyperlink"/>
        </w:rPr>
        <w:t>https://info.ivdk.org</w:t>
      </w:r>
    </w:p>
    <w:p w14:paraId="38BFE5C6" w14:textId="1EB1FCEF" w:rsidR="00F9658F" w:rsidRDefault="00F9658F" w:rsidP="00F9658F">
      <w:pPr>
        <w:spacing w:after="0"/>
        <w:rPr>
          <w:rStyle w:val="Hyperlink"/>
        </w:rPr>
      </w:pPr>
      <w:r>
        <w:rPr>
          <w:b/>
          <w:bCs/>
        </w:rPr>
        <w:t xml:space="preserve">WinAlldat Net Setup und Update - Basis URL: </w:t>
      </w:r>
      <w:r w:rsidR="00745AE5">
        <w:rPr>
          <w:b/>
          <w:bCs/>
        </w:rPr>
        <w:tab/>
      </w:r>
      <w:r w:rsidR="00745AE5">
        <w:rPr>
          <w:b/>
          <w:bCs/>
        </w:rPr>
        <w:tab/>
      </w:r>
      <w:r>
        <w:rPr>
          <w:rStyle w:val="Hyperlink"/>
        </w:rPr>
        <w:t>https://winalldatnet.ivdk.org</w:t>
      </w:r>
    </w:p>
    <w:p w14:paraId="34DEB831" w14:textId="77777777" w:rsidR="00F9658F" w:rsidRDefault="00F9658F" w:rsidP="00F9658F">
      <w:pPr>
        <w:spacing w:after="0"/>
      </w:pPr>
    </w:p>
    <w:p w14:paraId="5F4D12C8" w14:textId="246C010A" w:rsidR="00F9658F" w:rsidRPr="00F8603F" w:rsidRDefault="00F9658F" w:rsidP="00F9658F">
      <w:pPr>
        <w:spacing w:after="0"/>
      </w:pPr>
      <w:r w:rsidRPr="00F8603F">
        <w:t xml:space="preserve">IT Support: </w:t>
      </w:r>
      <w:r w:rsidRPr="00F8603F">
        <w:tab/>
        <w:t xml:space="preserve">Ronald Arnold   - rarnold@gwdg.de </w:t>
      </w:r>
    </w:p>
    <w:p w14:paraId="2AD65A79" w14:textId="7332D649" w:rsidR="00F9658F" w:rsidRPr="00F8603F" w:rsidRDefault="00F9658F" w:rsidP="00F9658F">
      <w:pPr>
        <w:spacing w:after="0"/>
        <w:ind w:left="708" w:firstLine="708"/>
        <w:rPr>
          <w:b/>
          <w:bCs/>
        </w:rPr>
      </w:pPr>
      <w:r w:rsidRPr="00F8603F">
        <w:rPr>
          <w:b/>
          <w:bCs/>
        </w:rPr>
        <w:t>Tel.: +49 551 201 97 780 oder +49 551 505 39 623 (Fernwartung)</w:t>
      </w:r>
    </w:p>
    <w:p w14:paraId="7C59A94C" w14:textId="24B07628" w:rsidR="00F9658F" w:rsidRPr="00F8603F" w:rsidRDefault="00F9658F" w:rsidP="00F9658F">
      <w:pPr>
        <w:spacing w:after="0"/>
        <w:ind w:left="708" w:firstLine="708"/>
      </w:pPr>
      <w:r w:rsidRPr="00F8603F">
        <w:t>Christian Meyer - projekte@christian-meyer-software.de</w:t>
      </w:r>
    </w:p>
    <w:p w14:paraId="16C0C48B" w14:textId="7FF815B5" w:rsidR="00F9658F" w:rsidRPr="00F8603F" w:rsidRDefault="00F9658F" w:rsidP="00F9658F">
      <w:pPr>
        <w:spacing w:after="0"/>
        <w:ind w:left="708" w:firstLine="708"/>
        <w:rPr>
          <w:b/>
          <w:bCs/>
        </w:rPr>
      </w:pPr>
      <w:r w:rsidRPr="00F8603F">
        <w:rPr>
          <w:b/>
          <w:bCs/>
        </w:rPr>
        <w:t xml:space="preserve">Tel.: </w:t>
      </w:r>
      <w:r w:rsidR="00FA0CD2" w:rsidRPr="00F8603F">
        <w:rPr>
          <w:b/>
          <w:bCs/>
        </w:rPr>
        <w:t>+49 179 732 46 37</w:t>
      </w:r>
      <w:r w:rsidRPr="00F8603F">
        <w:rPr>
          <w:b/>
          <w:bCs/>
        </w:rPr>
        <w:t xml:space="preserve"> (Fernwartung)</w:t>
      </w:r>
    </w:p>
    <w:p w14:paraId="4DD85CE9" w14:textId="1A883499" w:rsidR="005D56F8" w:rsidRDefault="005D56F8" w:rsidP="00F9658F">
      <w:pPr>
        <w:spacing w:after="0"/>
      </w:pPr>
      <w:r>
        <w:t xml:space="preserve">Download der </w:t>
      </w:r>
      <w:r w:rsidR="00F9658F">
        <w:t>Fernwartung</w:t>
      </w:r>
      <w:r>
        <w:t>ssoftware</w:t>
      </w:r>
      <w:r w:rsidR="00A4113B">
        <w:t xml:space="preserve"> </w:t>
      </w:r>
      <w:proofErr w:type="spellStart"/>
      <w:r>
        <w:t>Anydesk</w:t>
      </w:r>
      <w:proofErr w:type="spellEnd"/>
      <w:r w:rsidR="004A2159">
        <w:t xml:space="preserve"> unter URL</w:t>
      </w:r>
      <w:r w:rsidR="00F9658F">
        <w:t xml:space="preserve">: </w:t>
      </w:r>
      <w:r w:rsidR="00A4113B" w:rsidRPr="005D56F8">
        <w:t>https://</w:t>
      </w:r>
      <w:r>
        <w:t xml:space="preserve">anydesk.com/de </w:t>
      </w:r>
    </w:p>
    <w:p w14:paraId="54ABA25B" w14:textId="57806D86" w:rsidR="00B36385" w:rsidRDefault="00B36385" w:rsidP="00F9658F">
      <w:pPr>
        <w:spacing w:after="0"/>
      </w:pPr>
    </w:p>
    <w:p w14:paraId="42758CE6" w14:textId="775073F8" w:rsidR="00B36385" w:rsidRDefault="00B36385" w:rsidP="00B36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Achtung: die Zahl </w:t>
      </w:r>
      <w:r w:rsidRPr="00B36385">
        <w:rPr>
          <w:b/>
          <w:bCs/>
          <w:color w:val="FF0000"/>
        </w:rPr>
        <w:t xml:space="preserve">„7“ </w:t>
      </w:r>
      <w:r>
        <w:rPr>
          <w:b/>
          <w:bCs/>
          <w:color w:val="FF0000"/>
        </w:rPr>
        <w:t xml:space="preserve">im Update- bzw. Setuppaket </w:t>
      </w:r>
      <w:r w:rsidRPr="00B36385">
        <w:rPr>
          <w:b/>
          <w:bCs/>
          <w:color w:val="FF0000"/>
        </w:rPr>
        <w:t>bedeutet .NET Framework 7 Support</w:t>
      </w:r>
      <w:r>
        <w:rPr>
          <w:b/>
          <w:bCs/>
          <w:color w:val="FF0000"/>
        </w:rPr>
        <w:t xml:space="preserve"> (neuer Standard)</w:t>
      </w:r>
    </w:p>
    <w:p w14:paraId="48D2A009" w14:textId="2441BA2A" w:rsidR="00F9658F" w:rsidRDefault="00F9658F" w:rsidP="00F9658F">
      <w:pPr>
        <w:spacing w:after="0"/>
        <w:rPr>
          <w:b/>
          <w:bCs/>
        </w:rPr>
      </w:pPr>
      <w:r>
        <w:rPr>
          <w:b/>
          <w:bCs/>
        </w:rPr>
        <w:br/>
        <w:t xml:space="preserve">WinAlldat Net </w:t>
      </w:r>
      <w:r w:rsidR="00B36385">
        <w:rPr>
          <w:b/>
          <w:bCs/>
        </w:rPr>
        <w:t>Wartungsu</w:t>
      </w:r>
      <w:r>
        <w:rPr>
          <w:b/>
          <w:bCs/>
        </w:rPr>
        <w:t>pdate Standard</w:t>
      </w:r>
      <w:r w:rsidR="00B36385">
        <w:rPr>
          <w:b/>
          <w:bCs/>
        </w:rPr>
        <w:t xml:space="preserve"> – kann ohne Adminrechte installiert werden</w:t>
      </w:r>
    </w:p>
    <w:p w14:paraId="19B83A6C" w14:textId="77777777" w:rsidR="00F9658F" w:rsidRDefault="00F9658F" w:rsidP="00F9658F">
      <w:pPr>
        <w:spacing w:after="0"/>
      </w:pPr>
      <w:r>
        <w:t>Mit dem IVDK Programm "ivdkupdatenet.exe" wird das Wartungsupdate eingefahren und vorhandene WinAlldat Net Programmdateien auf den KAS (Klinische Arbeitsplatz Systeme) werden aktualisiert.</w:t>
      </w:r>
    </w:p>
    <w:p w14:paraId="73402CC6" w14:textId="6CCD0621" w:rsidR="00751641" w:rsidRDefault="00751641" w:rsidP="00751641">
      <w:pPr>
        <w:spacing w:after="0"/>
      </w:pPr>
      <w:r>
        <w:rPr>
          <w:rStyle w:val="Hyperlink"/>
        </w:rPr>
        <w:t>https://winalldatnet.ivdk.org/ivdkupdatenet7.exe</w:t>
      </w:r>
      <w:r>
        <w:rPr>
          <w:color w:val="000000"/>
        </w:rPr>
        <w:t xml:space="preserve"> </w:t>
      </w:r>
      <w:r>
        <w:t>- Wartungsupdate</w:t>
      </w:r>
      <w:r w:rsidR="00B36385" w:rsidRPr="00B36385">
        <w:rPr>
          <w:b/>
          <w:bCs/>
          <w:color w:val="FF0000"/>
        </w:rPr>
        <w:t xml:space="preserve"> </w:t>
      </w:r>
      <w:r w:rsidR="00B36385">
        <w:rPr>
          <w:b/>
          <w:bCs/>
          <w:color w:val="FF0000"/>
        </w:rPr>
        <w:t xml:space="preserve">- </w:t>
      </w:r>
      <w:r w:rsidR="00B36385" w:rsidRPr="00B36385">
        <w:rPr>
          <w:b/>
          <w:bCs/>
          <w:color w:val="FF0000"/>
        </w:rPr>
        <w:t>.NET Framework 7</w:t>
      </w:r>
    </w:p>
    <w:p w14:paraId="5AF91D43" w14:textId="3B1F25B5" w:rsidR="00B36385" w:rsidRDefault="00B36385" w:rsidP="00B36385">
      <w:pPr>
        <w:spacing w:after="0"/>
      </w:pPr>
      <w:r>
        <w:rPr>
          <w:rStyle w:val="Hyperlink"/>
        </w:rPr>
        <w:t>https://winalldatnet.ivdk.org/ivdkupdatenet.exe</w:t>
      </w:r>
      <w:r>
        <w:rPr>
          <w:color w:val="000000"/>
        </w:rPr>
        <w:t xml:space="preserve"> </w:t>
      </w:r>
      <w:r>
        <w:t xml:space="preserve">- Wartungsupdate - </w:t>
      </w:r>
      <w:r w:rsidRPr="00B36385">
        <w:rPr>
          <w:b/>
          <w:bCs/>
          <w:color w:val="FF0000"/>
        </w:rPr>
        <w:t xml:space="preserve">.NET Framework </w:t>
      </w:r>
      <w:r>
        <w:rPr>
          <w:b/>
          <w:bCs/>
          <w:color w:val="FF0000"/>
        </w:rPr>
        <w:t>4</w:t>
      </w:r>
    </w:p>
    <w:p w14:paraId="3AA684E6" w14:textId="77777777" w:rsidR="00F9658F" w:rsidRDefault="00F9658F" w:rsidP="00F9658F">
      <w:pPr>
        <w:spacing w:after="0"/>
        <w:rPr>
          <w:color w:val="000000"/>
        </w:rPr>
      </w:pPr>
    </w:p>
    <w:p w14:paraId="2145446C" w14:textId="77777777" w:rsidR="00F9658F" w:rsidRDefault="00F9658F" w:rsidP="00F9658F">
      <w:pPr>
        <w:spacing w:after="0"/>
        <w:rPr>
          <w:b/>
          <w:bCs/>
        </w:rPr>
      </w:pPr>
      <w:r>
        <w:rPr>
          <w:b/>
          <w:bCs/>
        </w:rPr>
        <w:t>WinAlldat Net Setup Programm (nur Neu- und Reparaturinstallation!!)</w:t>
      </w:r>
    </w:p>
    <w:p w14:paraId="3F3B3999" w14:textId="7D645462" w:rsidR="00F9658F" w:rsidRDefault="00F9658F" w:rsidP="00F9658F">
      <w:pPr>
        <w:spacing w:after="0"/>
      </w:pPr>
      <w:r>
        <w:t>Mit dem IVDK Setup Programm "ivdksetupnet</w:t>
      </w:r>
      <w:r w:rsidR="005D56F8">
        <w:t>7</w:t>
      </w:r>
      <w:r>
        <w:t xml:space="preserve">.exe" kopieren Sie alle notwendigen WinAlldat Net Dateien auf Ihr KAS und richten Menüeinträge bzw. Startsymbole auf dem Desktop (all </w:t>
      </w:r>
      <w:proofErr w:type="spellStart"/>
      <w:r>
        <w:t>users</w:t>
      </w:r>
      <w:proofErr w:type="spellEnd"/>
      <w:r>
        <w:t xml:space="preserve">) ein, um </w:t>
      </w:r>
      <w:proofErr w:type="gramStart"/>
      <w:r>
        <w:t>die  IVDK</w:t>
      </w:r>
      <w:proofErr w:type="gramEnd"/>
      <w:r>
        <w:t xml:space="preserve"> Programme aufrufen zu können. Muss im Kontext eines Admins ausgeführt werden, da es sich um eine vollständige (Reparatur-) Installation handelt.</w:t>
      </w:r>
    </w:p>
    <w:p w14:paraId="5E1D6BEF" w14:textId="77777777" w:rsidR="00F9658F" w:rsidRDefault="00F9658F" w:rsidP="00F9658F">
      <w:pPr>
        <w:spacing w:after="0"/>
      </w:pPr>
    </w:p>
    <w:p w14:paraId="05117AD5" w14:textId="7305C168" w:rsidR="005D56F8" w:rsidRDefault="0068344A" w:rsidP="005D56F8">
      <w:pPr>
        <w:spacing w:after="0"/>
      </w:pPr>
      <w:hyperlink r:id="rId8" w:history="1">
        <w:r w:rsidR="005D56F8" w:rsidRPr="005D56F8">
          <w:rPr>
            <w:rStyle w:val="Hyperlink"/>
          </w:rPr>
          <w:t>https://winalldatnet.ivdk.org/ivdksetupnet7.exe</w:t>
        </w:r>
      </w:hyperlink>
      <w:r w:rsidR="005D56F8">
        <w:rPr>
          <w:rStyle w:val="Hyperlink"/>
        </w:rPr>
        <w:t xml:space="preserve"> </w:t>
      </w:r>
      <w:bookmarkStart w:id="0" w:name="_Hlk136890594"/>
      <w:r w:rsidR="005D56F8">
        <w:rPr>
          <w:b/>
          <w:bCs/>
          <w:color w:val="FF0000"/>
        </w:rPr>
        <w:t xml:space="preserve">- </w:t>
      </w:r>
      <w:r w:rsidR="005D56F8" w:rsidRPr="00B36385">
        <w:rPr>
          <w:b/>
          <w:bCs/>
          <w:color w:val="FF0000"/>
        </w:rPr>
        <w:t>.NET Framework 7</w:t>
      </w:r>
      <w:bookmarkEnd w:id="0"/>
    </w:p>
    <w:p w14:paraId="29C2A95C" w14:textId="3421B510" w:rsidR="00F9658F" w:rsidRDefault="0068344A" w:rsidP="00F9658F">
      <w:pPr>
        <w:spacing w:after="0"/>
      </w:pPr>
      <w:hyperlink r:id="rId9" w:history="1">
        <w:r w:rsidR="005D56F8" w:rsidRPr="005D56F8">
          <w:rPr>
            <w:rStyle w:val="Hyperlink"/>
          </w:rPr>
          <w:t>https://winalldatnet.ivdk.org/ivdksetupnet.exe</w:t>
        </w:r>
      </w:hyperlink>
      <w:r w:rsidR="005D56F8">
        <w:rPr>
          <w:rStyle w:val="Hyperlink"/>
        </w:rPr>
        <w:t xml:space="preserve"> </w:t>
      </w:r>
      <w:r w:rsidR="005D56F8">
        <w:rPr>
          <w:b/>
          <w:bCs/>
          <w:color w:val="FF0000"/>
        </w:rPr>
        <w:t xml:space="preserve">- </w:t>
      </w:r>
      <w:r w:rsidR="005D56F8" w:rsidRPr="00B36385">
        <w:rPr>
          <w:b/>
          <w:bCs/>
          <w:color w:val="FF0000"/>
        </w:rPr>
        <w:t xml:space="preserve">.NET Framework </w:t>
      </w:r>
      <w:r w:rsidR="005D56F8">
        <w:rPr>
          <w:b/>
          <w:bCs/>
          <w:color w:val="FF0000"/>
        </w:rPr>
        <w:t>4</w:t>
      </w:r>
      <w:r w:rsidR="005D56F8">
        <w:br/>
      </w:r>
      <w:r w:rsidR="00F9658F">
        <w:t>Setup, Admin-Rechte nötig, Reparaturinstallation</w:t>
      </w:r>
    </w:p>
    <w:p w14:paraId="2BE7F9BA" w14:textId="092F91F8" w:rsidR="00F9658F" w:rsidRDefault="00F9658F" w:rsidP="00F9658F">
      <w:pPr>
        <w:spacing w:after="0"/>
      </w:pPr>
      <w:r>
        <w:rPr>
          <w:rStyle w:val="Hyperlink"/>
        </w:rPr>
        <w:t>https://winalldatnet.ivdk.org/ivdksetupnet.pdf</w:t>
      </w:r>
      <w:r>
        <w:t xml:space="preserve"> -</w:t>
      </w:r>
      <w:r w:rsidR="005D56F8">
        <w:t xml:space="preserve"> </w:t>
      </w:r>
      <w:r>
        <w:t>Setuphinweise als PDF</w:t>
      </w:r>
    </w:p>
    <w:p w14:paraId="7D641D19" w14:textId="77777777" w:rsidR="00F9658F" w:rsidRDefault="00F9658F" w:rsidP="00F9658F">
      <w:pPr>
        <w:spacing w:after="0"/>
        <w:rPr>
          <w:color w:val="000000"/>
        </w:rPr>
      </w:pPr>
    </w:p>
    <w:p w14:paraId="04BD41B2" w14:textId="77777777" w:rsidR="00F9658F" w:rsidRDefault="00F9658F" w:rsidP="00F9658F">
      <w:pPr>
        <w:spacing w:after="0"/>
      </w:pPr>
      <w:r>
        <w:t xml:space="preserve">Wählen Sie im IVDK </w:t>
      </w:r>
      <w:proofErr w:type="spellStart"/>
      <w:r>
        <w:t>Setuprogramm</w:t>
      </w:r>
      <w:proofErr w:type="spellEnd"/>
      <w:r>
        <w:t xml:space="preserve"> das passende Installationsprofil aus (32 </w:t>
      </w:r>
      <w:proofErr w:type="spellStart"/>
      <w:r>
        <w:t>bit</w:t>
      </w:r>
      <w:proofErr w:type="spellEnd"/>
      <w:r>
        <w:t xml:space="preserve"> ist Standard):</w:t>
      </w:r>
    </w:p>
    <w:p w14:paraId="6B8DF5A5" w14:textId="77777777" w:rsidR="00F9658F" w:rsidRDefault="00F9658F" w:rsidP="00F9658F">
      <w:pPr>
        <w:spacing w:after="0"/>
      </w:pPr>
    </w:p>
    <w:p w14:paraId="4015ACAF" w14:textId="77777777" w:rsidR="00F9658F" w:rsidRDefault="00F9658F" w:rsidP="00F9658F">
      <w:pPr>
        <w:spacing w:after="0"/>
        <w:rPr>
          <w:b/>
          <w:bCs/>
        </w:rPr>
      </w:pPr>
      <w:r>
        <w:rPr>
          <w:b/>
          <w:bCs/>
        </w:rPr>
        <w:t xml:space="preserve">* WinAlldat Net 32 </w:t>
      </w:r>
      <w:proofErr w:type="spellStart"/>
      <w:r>
        <w:rPr>
          <w:b/>
          <w:bCs/>
        </w:rPr>
        <w:t>bit</w:t>
      </w:r>
      <w:proofErr w:type="spellEnd"/>
      <w:r>
        <w:rPr>
          <w:b/>
          <w:bCs/>
        </w:rPr>
        <w:t xml:space="preserve"> Standard:    MS Office Professional 32 </w:t>
      </w:r>
      <w:proofErr w:type="spellStart"/>
      <w:r>
        <w:rPr>
          <w:b/>
          <w:bCs/>
        </w:rPr>
        <w:t>bit</w:t>
      </w:r>
      <w:proofErr w:type="spellEnd"/>
    </w:p>
    <w:p w14:paraId="1A8E853A" w14:textId="77777777" w:rsidR="00F9658F" w:rsidRDefault="00F9658F" w:rsidP="00F9658F">
      <w:pPr>
        <w:spacing w:after="0"/>
      </w:pPr>
      <w:r>
        <w:t xml:space="preserve">* WinAlldat Net 64 </w:t>
      </w:r>
      <w:proofErr w:type="spellStart"/>
      <w:r>
        <w:t>bit</w:t>
      </w:r>
      <w:proofErr w:type="spellEnd"/>
      <w:r>
        <w:t xml:space="preserve"> Office x64:   MS Office Professional 64 </w:t>
      </w:r>
      <w:proofErr w:type="spellStart"/>
      <w:r>
        <w:t>bit</w:t>
      </w:r>
      <w:proofErr w:type="spellEnd"/>
    </w:p>
    <w:p w14:paraId="6899B8C4" w14:textId="77777777" w:rsidR="00F9658F" w:rsidRDefault="00F9658F" w:rsidP="00F9658F">
      <w:pPr>
        <w:spacing w:after="0"/>
        <w:rPr>
          <w:b/>
          <w:bCs/>
        </w:rPr>
      </w:pPr>
    </w:p>
    <w:p w14:paraId="6C5227F8" w14:textId="77777777" w:rsidR="00F9658F" w:rsidRDefault="00F9658F" w:rsidP="00F9658F">
      <w:pPr>
        <w:spacing w:after="0"/>
        <w:rPr>
          <w:color w:val="C00000"/>
        </w:rPr>
      </w:pPr>
      <w:r>
        <w:rPr>
          <w:color w:val="C00000"/>
        </w:rPr>
        <w:t xml:space="preserve">Das Installationsprofil WinAlldat Net 64 </w:t>
      </w:r>
      <w:proofErr w:type="spellStart"/>
      <w:r>
        <w:rPr>
          <w:color w:val="C00000"/>
        </w:rPr>
        <w:t>bit</w:t>
      </w:r>
      <w:proofErr w:type="spellEnd"/>
      <w:r>
        <w:rPr>
          <w:color w:val="C00000"/>
        </w:rPr>
        <w:t xml:space="preserve"> Office x64 bitte nur nach Rücksprache mit dem IVDK IT Support verwenden!</w:t>
      </w:r>
    </w:p>
    <w:p w14:paraId="26D43D19" w14:textId="77777777" w:rsidR="00F9658F" w:rsidRDefault="00F9658F" w:rsidP="00F9658F">
      <w:pPr>
        <w:spacing w:after="0"/>
      </w:pPr>
    </w:p>
    <w:p w14:paraId="3738A00E" w14:textId="4C843748" w:rsidR="00F9658F" w:rsidRDefault="00F9658F" w:rsidP="00F9658F">
      <w:pPr>
        <w:spacing w:after="0"/>
      </w:pPr>
      <w:r>
        <w:t>Falls MS-Access als Datenbanksystem benutzt wird und kein Datenbanktreiber im Betriebssystem v</w:t>
      </w:r>
      <w:r w:rsidR="00086803">
        <w:t>o</w:t>
      </w:r>
      <w:r>
        <w:t xml:space="preserve">rhanden sind, laden Sie folgende Datenbank Treiber herunter: 32 oder 64 </w:t>
      </w:r>
      <w:proofErr w:type="spellStart"/>
      <w:r>
        <w:t>bit</w:t>
      </w:r>
      <w:proofErr w:type="spellEnd"/>
      <w:r>
        <w:t xml:space="preserve"> Access Datenbanktreiber (nach-) installiert werden:</w:t>
      </w:r>
    </w:p>
    <w:p w14:paraId="126106DD" w14:textId="77777777" w:rsidR="00F9658F" w:rsidRDefault="00F9658F" w:rsidP="00F9658F">
      <w:pPr>
        <w:spacing w:after="0"/>
      </w:pPr>
    </w:p>
    <w:p w14:paraId="2F511498" w14:textId="77777777" w:rsidR="00F9658F" w:rsidRDefault="00F9658F" w:rsidP="00F9658F">
      <w:pPr>
        <w:spacing w:after="0"/>
      </w:pPr>
      <w:r>
        <w:t>https://winalldatnet.ivdk.org/tools/AccessDatabaseEngine_x86.exe</w:t>
      </w:r>
    </w:p>
    <w:p w14:paraId="548FC98F" w14:textId="77777777" w:rsidR="00F9658F" w:rsidRDefault="00F9658F" w:rsidP="00F9658F">
      <w:pPr>
        <w:spacing w:after="0"/>
      </w:pPr>
      <w:r>
        <w:t>https://winalldatnet.ivdk.org/tools/AccessDatabaseEngine_x64.exe</w:t>
      </w:r>
    </w:p>
    <w:p w14:paraId="2B345196" w14:textId="77777777" w:rsidR="00F9658F" w:rsidRDefault="00F9658F" w:rsidP="00F9658F">
      <w:pPr>
        <w:spacing w:after="0"/>
      </w:pPr>
    </w:p>
    <w:p w14:paraId="112AAAC8" w14:textId="55E8AF6D" w:rsidR="00F9658F" w:rsidRDefault="00F9658F" w:rsidP="00F9658F">
      <w:pPr>
        <w:spacing w:after="0"/>
      </w:pPr>
      <w:r>
        <w:t xml:space="preserve">Der IVDK Support bietet eine Fernwartung an. Dies hat sich inzwischen als bewährtes Instrument zur schnellen Lösung von Installationsproblemen erwiesen, insbesondere im Falle von Netzwerkinstallationen (Client- /Serverinstallationen) </w:t>
      </w:r>
    </w:p>
    <w:p w14:paraId="68935A46" w14:textId="77777777" w:rsidR="006F0022" w:rsidRDefault="006F0022">
      <w:pPr>
        <w:rPr>
          <w:b/>
          <w:bCs/>
        </w:rPr>
      </w:pPr>
      <w:r>
        <w:rPr>
          <w:b/>
          <w:bCs/>
        </w:rPr>
        <w:br w:type="page"/>
      </w:r>
    </w:p>
    <w:p w14:paraId="1FC29886" w14:textId="788A3154" w:rsidR="00F9658F" w:rsidRDefault="00F9658F" w:rsidP="00F9658F">
      <w:pPr>
        <w:spacing w:after="0"/>
        <w:rPr>
          <w:b/>
          <w:bCs/>
        </w:rPr>
      </w:pPr>
      <w:r>
        <w:rPr>
          <w:b/>
          <w:bCs/>
        </w:rPr>
        <w:lastRenderedPageBreak/>
        <w:t>WinAlldat Net Programm im Netzwerk optimal einrichten</w:t>
      </w:r>
    </w:p>
    <w:p w14:paraId="5A081E06" w14:textId="77777777" w:rsidR="00F9658F" w:rsidRDefault="00F9658F" w:rsidP="00F9658F">
      <w:pPr>
        <w:spacing w:after="0"/>
      </w:pPr>
      <w:r>
        <w:t xml:space="preserve">Die </w:t>
      </w:r>
      <w:proofErr w:type="spellStart"/>
      <w:r>
        <w:t>WinAlldatNet</w:t>
      </w:r>
      <w:proofErr w:type="spellEnd"/>
      <w:r>
        <w:t xml:space="preserve"> Programme, Dokumente, Anleitungen usw. sollten vorzugsweise </w:t>
      </w:r>
      <w:proofErr w:type="spellStart"/>
      <w:r>
        <w:t>aufdem</w:t>
      </w:r>
      <w:proofErr w:type="spellEnd"/>
      <w:r>
        <w:t xml:space="preserve"> lokalen PC System installiert werden. Lediglich die IVDK DB wird auf einem zentralen Netzwerklaufwerk (Windows Share bzw. Server Freigabe) installiert. Siehe auch https://winalldatnet.ivdk.org/config_network.html</w:t>
      </w:r>
    </w:p>
    <w:p w14:paraId="0BD80B0F" w14:textId="77777777" w:rsidR="00F9658F" w:rsidRDefault="00F9658F" w:rsidP="00F9658F">
      <w:pPr>
        <w:spacing w:after="0"/>
        <w:rPr>
          <w:b/>
          <w:bCs/>
          <w:color w:val="8B0000"/>
        </w:rPr>
      </w:pPr>
      <w:r>
        <w:rPr>
          <w:b/>
          <w:bCs/>
          <w:color w:val="8B0000"/>
        </w:rPr>
        <w:t>Falls der Access ODBC Treiber installiert ist und die Benutzer DSN "</w:t>
      </w:r>
      <w:proofErr w:type="spellStart"/>
      <w:r>
        <w:rPr>
          <w:b/>
          <w:bCs/>
          <w:color w:val="8B0000"/>
        </w:rPr>
        <w:t>winalldativdk</w:t>
      </w:r>
      <w:proofErr w:type="spellEnd"/>
      <w:r>
        <w:rPr>
          <w:b/>
          <w:bCs/>
          <w:color w:val="8B0000"/>
        </w:rPr>
        <w:t>" mit dem Datenbankverweis auf "winalldativdk.mdb" existiert, löschen sie bitte diesen Eintrag und verwenden die Datei winalldatnet.ini mit folgendem Inhalt:</w:t>
      </w:r>
    </w:p>
    <w:p w14:paraId="7A2CF285" w14:textId="77777777" w:rsidR="00F9658F" w:rsidRDefault="00F9658F" w:rsidP="00F9658F">
      <w:pPr>
        <w:spacing w:after="0"/>
      </w:pPr>
    </w:p>
    <w:p w14:paraId="2960E1BD" w14:textId="77777777" w:rsidR="00F9658F" w:rsidRDefault="00F9658F" w:rsidP="00F9658F">
      <w:pPr>
        <w:pStyle w:val="berschrift4"/>
        <w:rPr>
          <w:rFonts w:ascii="Verdana" w:hAnsi="Verdana" w:cs="Verdana"/>
        </w:rPr>
      </w:pPr>
      <w:r>
        <w:rPr>
          <w:rFonts w:ascii="Verdana" w:hAnsi="Verdana" w:cs="Verdana"/>
        </w:rPr>
        <w:t>Anleitung um eine IVDK Access Datenbank per winalldatnet.ini einzubinden:</w:t>
      </w:r>
    </w:p>
    <w:p w14:paraId="04C0C83C" w14:textId="77777777" w:rsidR="00F9658F" w:rsidRDefault="00F9658F" w:rsidP="00F9658F">
      <w:pPr>
        <w:spacing w:after="0"/>
      </w:pPr>
    </w:p>
    <w:p w14:paraId="72CE5E97" w14:textId="77777777" w:rsidR="00F9658F" w:rsidRDefault="00F9658F" w:rsidP="00F9658F">
      <w:pPr>
        <w:spacing w:after="0"/>
      </w:pPr>
      <w:r>
        <w:t xml:space="preserve">Legen Sie im </w:t>
      </w:r>
      <w:proofErr w:type="spellStart"/>
      <w:r>
        <w:t>winalldatnet</w:t>
      </w:r>
      <w:proofErr w:type="spellEnd"/>
      <w:r>
        <w:t xml:space="preserve"> Programmverzeichnis die Textdatei mit 3 Zeilen an: </w:t>
      </w:r>
    </w:p>
    <w:p w14:paraId="720FBAEB" w14:textId="77777777" w:rsidR="00F9658F" w:rsidRDefault="00F9658F" w:rsidP="00F9658F">
      <w:pPr>
        <w:spacing w:after="0"/>
      </w:pPr>
      <w:r>
        <w:t>Inhalt von c:\winalldatnet\winalldatnet.ini:</w:t>
      </w:r>
    </w:p>
    <w:p w14:paraId="6082B125" w14:textId="77777777" w:rsidR="00F9658F" w:rsidRDefault="00F9658F" w:rsidP="00F9658F">
      <w:pPr>
        <w:spacing w:after="0"/>
      </w:pPr>
      <w:r>
        <w:t>Zeile 1; -jet</w:t>
      </w:r>
    </w:p>
    <w:p w14:paraId="10D2C850" w14:textId="77777777" w:rsidR="00F9658F" w:rsidRDefault="00F9658F" w:rsidP="00F9658F">
      <w:pPr>
        <w:spacing w:after="0"/>
      </w:pPr>
      <w:r>
        <w:t>Zeile 2: -</w:t>
      </w:r>
      <w:proofErr w:type="spellStart"/>
      <w:r>
        <w:t>dbpath</w:t>
      </w:r>
      <w:proofErr w:type="spellEnd"/>
      <w:r>
        <w:t xml:space="preserve"> </w:t>
      </w:r>
    </w:p>
    <w:p w14:paraId="015B5FCF" w14:textId="77777777" w:rsidR="00F9658F" w:rsidRDefault="00F9658F" w:rsidP="00F9658F">
      <w:pPr>
        <w:spacing w:after="0"/>
      </w:pPr>
      <w:r>
        <w:t>Zeile 3: x:\winalldat\winalldativdk.mdb (exemplarisch: Serverordner/Share)</w:t>
      </w:r>
    </w:p>
    <w:p w14:paraId="29774B43" w14:textId="77777777" w:rsidR="00F9658F" w:rsidRDefault="00F9658F" w:rsidP="00F9658F">
      <w:pPr>
        <w:spacing w:after="0"/>
      </w:pPr>
    </w:p>
    <w:p w14:paraId="608F129F" w14:textId="77777777" w:rsidR="00F9658F" w:rsidRDefault="00F9658F" w:rsidP="00F9658F">
      <w:pPr>
        <w:pStyle w:val="berschrift4"/>
        <w:rPr>
          <w:rFonts w:ascii="Verdana" w:hAnsi="Verdana" w:cs="Verdana"/>
        </w:rPr>
      </w:pPr>
      <w:r>
        <w:rPr>
          <w:rFonts w:ascii="Verdana" w:hAnsi="Verdana" w:cs="Verdana"/>
        </w:rPr>
        <w:t>Anleitung um eine IVDK SQL Server (Express) Datenbank per winalldatnet.ini einzubinden:</w:t>
      </w:r>
    </w:p>
    <w:p w14:paraId="6BCA3577" w14:textId="77777777" w:rsidR="00F9658F" w:rsidRDefault="00F9658F" w:rsidP="00F9658F">
      <w:pPr>
        <w:spacing w:after="0"/>
      </w:pPr>
    </w:p>
    <w:p w14:paraId="4771F457" w14:textId="77777777" w:rsidR="00F9658F" w:rsidRDefault="00F9658F" w:rsidP="00F9658F">
      <w:pPr>
        <w:spacing w:after="0"/>
      </w:pPr>
      <w:r>
        <w:t xml:space="preserve">Legen Sie im </w:t>
      </w:r>
      <w:proofErr w:type="spellStart"/>
      <w:r>
        <w:t>winalldatnet</w:t>
      </w:r>
      <w:proofErr w:type="spellEnd"/>
      <w:r>
        <w:t xml:space="preserve"> Programmverzeichnis die Textdatei mit 5 Zeilen an: </w:t>
      </w:r>
    </w:p>
    <w:p w14:paraId="79B78CD6" w14:textId="77777777" w:rsidR="00F9658F" w:rsidRDefault="00F9658F" w:rsidP="00F9658F">
      <w:pPr>
        <w:spacing w:after="0"/>
      </w:pPr>
      <w:r>
        <w:t>Inhalt von c:\winalldatnet\winalldatnet.ini:</w:t>
      </w:r>
    </w:p>
    <w:p w14:paraId="11A2E8C7" w14:textId="77777777" w:rsidR="00F9658F" w:rsidRDefault="00F9658F" w:rsidP="00F9658F">
      <w:pPr>
        <w:spacing w:after="0"/>
        <w:rPr>
          <w:b/>
          <w:bCs/>
          <w:color w:val="000000"/>
        </w:rPr>
      </w:pPr>
    </w:p>
    <w:p w14:paraId="31C8D7A9" w14:textId="77777777" w:rsidR="00F9658F" w:rsidRDefault="00F9658F" w:rsidP="00F9658F">
      <w:p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-</w:t>
      </w:r>
      <w:proofErr w:type="spellStart"/>
      <w:r>
        <w:rPr>
          <w:b/>
          <w:bCs/>
          <w:color w:val="000000"/>
        </w:rPr>
        <w:t>sqlserver</w:t>
      </w:r>
      <w:proofErr w:type="spellEnd"/>
    </w:p>
    <w:p w14:paraId="01063F2C" w14:textId="77777777" w:rsidR="00F9658F" w:rsidRDefault="00F9658F" w:rsidP="00F9658F">
      <w:p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-server </w:t>
      </w:r>
    </w:p>
    <w:p w14:paraId="67B2271D" w14:textId="77777777" w:rsidR="00F9658F" w:rsidRDefault="00F9658F" w:rsidP="00F9658F">
      <w:pPr>
        <w:spacing w:after="0"/>
        <w:rPr>
          <w:b/>
          <w:bCs/>
          <w:color w:val="000000"/>
        </w:rPr>
      </w:pPr>
      <w:proofErr w:type="spellStart"/>
      <w:proofErr w:type="gramStart"/>
      <w:r>
        <w:rPr>
          <w:b/>
          <w:bCs/>
          <w:color w:val="000000"/>
        </w:rPr>
        <w:t>MeinSQLServer</w:t>
      </w:r>
      <w:proofErr w:type="spellEnd"/>
      <w:r>
        <w:rPr>
          <w:b/>
          <w:bCs/>
          <w:color w:val="000000"/>
        </w:rPr>
        <w:t xml:space="preserve">  (</w:t>
      </w:r>
      <w:proofErr w:type="gramEnd"/>
      <w:r>
        <w:rPr>
          <w:b/>
          <w:bCs/>
          <w:color w:val="000000"/>
        </w:rPr>
        <w:t>exemplarisch!, durch eigenen SQL Servernamen ersetzen)</w:t>
      </w:r>
    </w:p>
    <w:p w14:paraId="38938337" w14:textId="77777777" w:rsidR="00F9658F" w:rsidRDefault="00F9658F" w:rsidP="00F9658F">
      <w:p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-</w:t>
      </w:r>
      <w:proofErr w:type="spellStart"/>
      <w:r>
        <w:rPr>
          <w:b/>
          <w:bCs/>
          <w:color w:val="000000"/>
        </w:rPr>
        <w:t>globalpath</w:t>
      </w:r>
      <w:proofErr w:type="spellEnd"/>
    </w:p>
    <w:p w14:paraId="0E1DA7B4" w14:textId="682A5338" w:rsidR="00F9658F" w:rsidRDefault="00F9658F" w:rsidP="00F9658F">
      <w:p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d:\winalldatnet (</w:t>
      </w:r>
      <w:proofErr w:type="gramStart"/>
      <w:r>
        <w:rPr>
          <w:b/>
          <w:bCs/>
          <w:color w:val="000000"/>
        </w:rPr>
        <w:t>exemplarisch!,</w:t>
      </w:r>
      <w:proofErr w:type="gramEnd"/>
      <w:r>
        <w:rPr>
          <w:b/>
          <w:bCs/>
          <w:color w:val="000000"/>
        </w:rPr>
        <w:t xml:space="preserve"> durch eigenen globalen Pfad ersetzen)</w:t>
      </w:r>
    </w:p>
    <w:p w14:paraId="22B76C40" w14:textId="77777777" w:rsidR="00F9658F" w:rsidRDefault="00F9658F" w:rsidP="00F9658F">
      <w:pPr>
        <w:spacing w:after="0"/>
        <w:rPr>
          <w:b/>
          <w:bCs/>
          <w:color w:val="000000"/>
        </w:rPr>
      </w:pPr>
    </w:p>
    <w:p w14:paraId="71C08E24" w14:textId="0707800B" w:rsidR="00F9658F" w:rsidRDefault="00F9658F" w:rsidP="00F9658F">
      <w:pPr>
        <w:spacing w:after="0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 wp14:anchorId="06053FFD" wp14:editId="0103BA1C">
            <wp:extent cx="3638550" cy="1647825"/>
            <wp:effectExtent l="0" t="0" r="0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69A2B" w14:textId="77777777" w:rsidR="00F9658F" w:rsidRDefault="00F9658F" w:rsidP="00F9658F">
      <w:pPr>
        <w:spacing w:after="0"/>
        <w:jc w:val="center"/>
        <w:rPr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Fehlermeldung </w:t>
      </w:r>
      <w:r>
        <w:rPr>
          <w:i/>
          <w:iCs/>
          <w:color w:val="000000"/>
        </w:rPr>
        <w:t>Datenbank fehlt oder fehlerhaft eingebunden: winalldatnet.ini überprüfen!</w:t>
      </w:r>
    </w:p>
    <w:p w14:paraId="0205112F" w14:textId="77777777" w:rsidR="00F9658F" w:rsidRDefault="00F9658F" w:rsidP="00F9658F">
      <w:pPr>
        <w:spacing w:after="0"/>
        <w:jc w:val="center"/>
      </w:pPr>
    </w:p>
    <w:p w14:paraId="1770ECFA" w14:textId="0F093080" w:rsidR="00F9658F" w:rsidRDefault="00F9658F" w:rsidP="00F9658F">
      <w:pPr>
        <w:spacing w:after="0"/>
        <w:rPr>
          <w:rStyle w:val="Hyperlink"/>
        </w:rPr>
      </w:pPr>
      <w:proofErr w:type="spellStart"/>
      <w:r>
        <w:rPr>
          <w:b/>
          <w:bCs/>
        </w:rPr>
        <w:t>Videotutoria</w:t>
      </w:r>
      <w:r>
        <w:t>l</w:t>
      </w:r>
      <w:proofErr w:type="spellEnd"/>
      <w:r>
        <w:t xml:space="preserve"> </w:t>
      </w:r>
      <w:r w:rsidR="003B451F">
        <w:t>(</w:t>
      </w:r>
      <w:r w:rsidR="003B451F" w:rsidRPr="003B451F">
        <w:t>ab 3:30 min</w:t>
      </w:r>
      <w:r w:rsidR="003B451F">
        <w:t>)</w:t>
      </w:r>
      <w:r w:rsidR="00A4113B">
        <w:br/>
      </w:r>
      <w:r>
        <w:rPr>
          <w:rStyle w:val="Hyperlink"/>
        </w:rPr>
        <w:t>https://winalldatnet.ivdk.org/video/winalldatnet_db_anbindung.mp4</w:t>
      </w:r>
    </w:p>
    <w:p w14:paraId="623FEF70" w14:textId="77777777" w:rsidR="00F9658F" w:rsidRDefault="00F9658F" w:rsidP="00F9658F">
      <w:pPr>
        <w:spacing w:after="0"/>
        <w:rPr>
          <w:b/>
          <w:bCs/>
          <w:color w:val="000000"/>
        </w:rPr>
      </w:pPr>
    </w:p>
    <w:p w14:paraId="49D18A82" w14:textId="77777777" w:rsidR="00F9658F" w:rsidRDefault="00F9658F" w:rsidP="00F9658F">
      <w:pPr>
        <w:spacing w:after="0"/>
        <w:rPr>
          <w:b/>
          <w:bCs/>
        </w:rPr>
      </w:pPr>
      <w:r>
        <w:rPr>
          <w:b/>
          <w:bCs/>
        </w:rPr>
        <w:t>Erster WinAlldat Net Programm-Aufruf</w:t>
      </w:r>
    </w:p>
    <w:p w14:paraId="06BB6982" w14:textId="77777777" w:rsidR="00F9658F" w:rsidRDefault="00F9658F" w:rsidP="00F9658F">
      <w:pPr>
        <w:spacing w:after="0"/>
      </w:pPr>
      <w:r>
        <w:t xml:space="preserve">Die bisherige Passwort Datei winalldat.pwd wird durch die </w:t>
      </w:r>
      <w:proofErr w:type="spellStart"/>
      <w:r>
        <w:t>neü</w:t>
      </w:r>
      <w:proofErr w:type="spellEnd"/>
      <w:r>
        <w:t xml:space="preserve"> XML Version WinAlldat Netpwd.ini ersetzt. Aus verschlüsselungstechnischen Gründen werden keine Einstellungen aus der winalldat.pwd übernommen. Vom Programm werden der WinAlldat Net Admin Account "</w:t>
      </w:r>
      <w:proofErr w:type="spellStart"/>
      <w:r>
        <w:t>chef</w:t>
      </w:r>
      <w:proofErr w:type="spellEnd"/>
      <w:r>
        <w:t>" und den Standartbenutzer "</w:t>
      </w:r>
      <w:proofErr w:type="spellStart"/>
      <w:r>
        <w:t>allergie</w:t>
      </w:r>
      <w:proofErr w:type="spellEnd"/>
      <w:r>
        <w:t>", jeweils mit dem Passwort "</w:t>
      </w:r>
      <w:proofErr w:type="spellStart"/>
      <w:r>
        <w:t>ivdk</w:t>
      </w:r>
      <w:proofErr w:type="spellEnd"/>
      <w:r>
        <w:t>" angelegt. Die Neuanlage eines Benutzers (Nur WinAlldat Net Admin Account "</w:t>
      </w:r>
      <w:proofErr w:type="spellStart"/>
      <w:r>
        <w:t>chef</w:t>
      </w:r>
      <w:proofErr w:type="spellEnd"/>
      <w:proofErr w:type="gramStart"/>
      <w:r>
        <w:t>" )</w:t>
      </w:r>
      <w:proofErr w:type="gramEnd"/>
      <w:r>
        <w:t xml:space="preserve"> oder die Änderung des Passwortes ist (wie bisher) unter Dienstprogramme=&gt;Zugangsberechtigung zu finden.</w:t>
      </w:r>
    </w:p>
    <w:p w14:paraId="5ECB5041" w14:textId="77777777" w:rsidR="00F9658F" w:rsidRDefault="00F9658F" w:rsidP="00F9658F">
      <w:pPr>
        <w:spacing w:after="0"/>
      </w:pPr>
    </w:p>
    <w:p w14:paraId="38D2B803" w14:textId="67B344DB" w:rsidR="00F9658F" w:rsidRDefault="00F9658F" w:rsidP="00F9658F">
      <w:pPr>
        <w:spacing w:after="0"/>
      </w:pPr>
      <w:r>
        <w:t xml:space="preserve">Das WinAlldat Net Software </w:t>
      </w:r>
      <w:proofErr w:type="spellStart"/>
      <w:r>
        <w:t>Videotutorial</w:t>
      </w:r>
      <w:proofErr w:type="spellEnd"/>
      <w:r w:rsidR="0029126E">
        <w:t xml:space="preserve"> </w:t>
      </w:r>
      <w:r w:rsidRPr="0029126E">
        <w:rPr>
          <w:rStyle w:val="Hyperlink"/>
          <w:sz w:val="20"/>
          <w:szCs w:val="20"/>
        </w:rPr>
        <w:t>https://</w:t>
      </w:r>
      <w:r w:rsidRPr="0029126E">
        <w:rPr>
          <w:sz w:val="20"/>
          <w:szCs w:val="20"/>
        </w:rPr>
        <w:t xml:space="preserve"> </w:t>
      </w:r>
      <w:r w:rsidRPr="0029126E">
        <w:rPr>
          <w:rStyle w:val="Hyperlink"/>
          <w:sz w:val="20"/>
          <w:szCs w:val="20"/>
        </w:rPr>
        <w:t>winalldatnet.ivdk.org/</w:t>
      </w:r>
      <w:proofErr w:type="spellStart"/>
      <w:r w:rsidRPr="0029126E">
        <w:rPr>
          <w:rStyle w:val="Hyperlink"/>
          <w:sz w:val="20"/>
          <w:szCs w:val="20"/>
        </w:rPr>
        <w:t>video</w:t>
      </w:r>
      <w:proofErr w:type="spellEnd"/>
      <w:r w:rsidRPr="0029126E">
        <w:rPr>
          <w:rStyle w:val="Hyperlink"/>
          <w:sz w:val="20"/>
          <w:szCs w:val="20"/>
        </w:rPr>
        <w:t>/WinAlldat Net_options.mp4</w:t>
      </w:r>
      <w:r>
        <w:t xml:space="preserve"> erläutert die Einrichtung von Kopfzeilen, Tastatureinstellungen, Tabellenfarben und weiteren Optionen wie etwa Einstellungen zum Datenexport und zur Datenübertragung.</w:t>
      </w:r>
    </w:p>
    <w:p w14:paraId="0D1384F9" w14:textId="77777777" w:rsidR="00F9658F" w:rsidRDefault="00F9658F" w:rsidP="00F9658F">
      <w:pPr>
        <w:spacing w:after="0"/>
      </w:pPr>
    </w:p>
    <w:p w14:paraId="40E10A24" w14:textId="77777777" w:rsidR="00F9658F" w:rsidRDefault="00F9658F" w:rsidP="00F9658F">
      <w:pPr>
        <w:pStyle w:val="berschrift4"/>
        <w:rPr>
          <w:rFonts w:ascii="Verdana" w:hAnsi="Verdana" w:cs="Verdana"/>
        </w:rPr>
      </w:pPr>
      <w:proofErr w:type="spellStart"/>
      <w:r>
        <w:rPr>
          <w:rFonts w:ascii="Verdana" w:hAnsi="Verdana" w:cs="Verdana"/>
        </w:rPr>
        <w:t>Winalldat</w:t>
      </w:r>
      <w:proofErr w:type="spellEnd"/>
      <w:r>
        <w:rPr>
          <w:rFonts w:ascii="Verdana" w:hAnsi="Verdana" w:cs="Verdana"/>
        </w:rPr>
        <w:t xml:space="preserve"> Net Kommandozeilen-Parameter (</w:t>
      </w:r>
      <w:proofErr w:type="spellStart"/>
      <w:r>
        <w:rPr>
          <w:rFonts w:ascii="Verdana" w:hAnsi="Verdana" w:cs="Verdana"/>
        </w:rPr>
        <w:t>parameter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prefix</w:t>
      </w:r>
      <w:proofErr w:type="spellEnd"/>
      <w:r>
        <w:rPr>
          <w:rFonts w:ascii="Verdana" w:hAnsi="Verdana" w:cs="Verdana"/>
        </w:rPr>
        <w:t xml:space="preserve"> - oder /)</w:t>
      </w:r>
    </w:p>
    <w:p w14:paraId="144EDE13" w14:textId="77777777" w:rsidR="00F9658F" w:rsidRDefault="00F9658F" w:rsidP="00F9658F">
      <w:pPr>
        <w:pStyle w:val="berschrift4"/>
        <w:rPr>
          <w:rFonts w:ascii="Verdana" w:hAnsi="Verdana" w:cs="Verdana"/>
        </w:rPr>
      </w:pPr>
    </w:p>
    <w:tbl>
      <w:tblPr>
        <w:tblW w:w="4500" w:type="pct"/>
        <w:tblCellSpacing w:w="15" w:type="dxa"/>
        <w:tblInd w:w="7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353"/>
        <w:gridCol w:w="6548"/>
      </w:tblGrid>
      <w:tr w:rsidR="00F9658F" w14:paraId="43CC507C" w14:textId="77777777" w:rsidTr="00F039BA">
        <w:trPr>
          <w:trHeight w:val="60"/>
          <w:tblCellSpacing w:w="15" w:type="dxa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center"/>
          </w:tcPr>
          <w:p w14:paraId="30AA2DF5" w14:textId="77777777" w:rsidR="00F9658F" w:rsidRDefault="00F9658F" w:rsidP="00F9658F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Parameter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center"/>
          </w:tcPr>
          <w:p w14:paraId="0BB1EC8B" w14:textId="77777777" w:rsidR="00F9658F" w:rsidRDefault="00F9658F" w:rsidP="00F9658F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Funktionsbeschreibung</w:t>
            </w:r>
          </w:p>
        </w:tc>
      </w:tr>
      <w:tr w:rsidR="00F9658F" w:rsidRPr="00F86290" w14:paraId="17486954" w14:textId="77777777" w:rsidTr="00F039BA">
        <w:trPr>
          <w:trHeight w:val="60"/>
          <w:tblCellSpacing w:w="15" w:type="dxa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88389" w14:textId="77777777" w:rsidR="00F9658F" w:rsidRPr="00F86290" w:rsidRDefault="00F9658F" w:rsidP="00F9658F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F86290">
              <w:rPr>
                <w:rFonts w:cstheme="minorHAnsi"/>
                <w:color w:val="000000"/>
                <w:sz w:val="20"/>
                <w:szCs w:val="20"/>
              </w:rPr>
              <w:t>-?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AD41E" w14:textId="77777777" w:rsidR="00F9658F" w:rsidRPr="00F86290" w:rsidRDefault="00F9658F" w:rsidP="00F965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86290">
              <w:rPr>
                <w:rFonts w:cstheme="minorHAnsi"/>
                <w:sz w:val="20"/>
                <w:szCs w:val="20"/>
              </w:rPr>
              <w:t>Synopsis der Parameter</w:t>
            </w:r>
          </w:p>
        </w:tc>
      </w:tr>
      <w:tr w:rsidR="00F9658F" w:rsidRPr="00F86290" w14:paraId="48E6555B" w14:textId="77777777" w:rsidTr="00F039BA">
        <w:trPr>
          <w:trHeight w:val="60"/>
          <w:tblCellSpacing w:w="15" w:type="dxa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D7A9B" w14:textId="77777777" w:rsidR="00F9658F" w:rsidRPr="00F86290" w:rsidRDefault="00F9658F" w:rsidP="00F9658F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F86290">
              <w:rPr>
                <w:rFonts w:cstheme="minorHAnsi"/>
                <w:color w:val="000000"/>
                <w:sz w:val="20"/>
                <w:szCs w:val="20"/>
              </w:rPr>
              <w:t>-</w:t>
            </w:r>
            <w:proofErr w:type="spellStart"/>
            <w:r w:rsidRPr="00F86290">
              <w:rPr>
                <w:rFonts w:cstheme="minorHAnsi"/>
                <w:color w:val="000000"/>
                <w:sz w:val="20"/>
                <w:szCs w:val="20"/>
              </w:rPr>
              <w:t>dbtest</w:t>
            </w:r>
            <w:proofErr w:type="spellEnd"/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563E6" w14:textId="77777777" w:rsidR="00F9658F" w:rsidRPr="00F86290" w:rsidRDefault="00F9658F" w:rsidP="00F965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86290">
              <w:rPr>
                <w:rFonts w:cstheme="minorHAnsi"/>
                <w:sz w:val="20"/>
                <w:szCs w:val="20"/>
              </w:rPr>
              <w:t>Test Datenbank winalldativdk.mdb, winalldatnetrep.db3 u. Language.db3</w:t>
            </w:r>
          </w:p>
        </w:tc>
      </w:tr>
      <w:tr w:rsidR="00F9658F" w:rsidRPr="00F86290" w14:paraId="4D0CC0A7" w14:textId="77777777" w:rsidTr="00F039BA">
        <w:trPr>
          <w:trHeight w:val="60"/>
          <w:tblCellSpacing w:w="15" w:type="dxa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565FD" w14:textId="77777777" w:rsidR="00F9658F" w:rsidRPr="00F86290" w:rsidRDefault="00F9658F" w:rsidP="00F9658F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F86290">
              <w:rPr>
                <w:rFonts w:cstheme="minorHAnsi"/>
                <w:color w:val="000000"/>
                <w:sz w:val="20"/>
                <w:szCs w:val="20"/>
              </w:rPr>
              <w:t>-jet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68443" w14:textId="77777777" w:rsidR="00F9658F" w:rsidRPr="00F86290" w:rsidRDefault="00F9658F" w:rsidP="00F965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86290">
              <w:rPr>
                <w:rFonts w:cstheme="minorHAnsi"/>
                <w:sz w:val="20"/>
                <w:szCs w:val="20"/>
              </w:rPr>
              <w:t>Aktivierung des Jet OLE DB Treibers</w:t>
            </w:r>
          </w:p>
        </w:tc>
      </w:tr>
      <w:tr w:rsidR="00F9658F" w:rsidRPr="00F86290" w14:paraId="2AA104E8" w14:textId="77777777" w:rsidTr="00F039BA">
        <w:trPr>
          <w:trHeight w:val="60"/>
          <w:tblCellSpacing w:w="15" w:type="dxa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796FD" w14:textId="77777777" w:rsidR="00F9658F" w:rsidRPr="00F86290" w:rsidRDefault="00F9658F" w:rsidP="00F9658F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F86290">
              <w:rPr>
                <w:rFonts w:cstheme="minorHAnsi"/>
                <w:color w:val="000000"/>
                <w:sz w:val="20"/>
                <w:szCs w:val="20"/>
              </w:rPr>
              <w:t>-</w:t>
            </w:r>
            <w:proofErr w:type="spellStart"/>
            <w:r w:rsidRPr="00F86290">
              <w:rPr>
                <w:rFonts w:cstheme="minorHAnsi"/>
                <w:color w:val="000000"/>
                <w:sz w:val="20"/>
                <w:szCs w:val="20"/>
              </w:rPr>
              <w:t>sqlite</w:t>
            </w:r>
            <w:proofErr w:type="spellEnd"/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85D53" w14:textId="77777777" w:rsidR="00F9658F" w:rsidRPr="00F86290" w:rsidRDefault="00F9658F" w:rsidP="00F965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86290">
              <w:rPr>
                <w:rFonts w:cstheme="minorHAnsi"/>
                <w:sz w:val="20"/>
                <w:szCs w:val="20"/>
              </w:rPr>
              <w:t>SQLite DB Schnittstelle verwenden</w:t>
            </w:r>
          </w:p>
        </w:tc>
      </w:tr>
      <w:tr w:rsidR="00F9658F" w:rsidRPr="00F86290" w14:paraId="25782485" w14:textId="77777777" w:rsidTr="00F039BA">
        <w:trPr>
          <w:trHeight w:val="60"/>
          <w:tblCellSpacing w:w="15" w:type="dxa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60441" w14:textId="77777777" w:rsidR="00F9658F" w:rsidRPr="00F86290" w:rsidRDefault="00F9658F" w:rsidP="00F9658F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F86290">
              <w:rPr>
                <w:rFonts w:cstheme="minorHAnsi"/>
                <w:color w:val="000000"/>
                <w:sz w:val="20"/>
                <w:szCs w:val="20"/>
              </w:rPr>
              <w:t>-</w:t>
            </w:r>
            <w:proofErr w:type="spellStart"/>
            <w:r w:rsidRPr="00F86290">
              <w:rPr>
                <w:rFonts w:cstheme="minorHAnsi"/>
                <w:color w:val="000000"/>
                <w:sz w:val="20"/>
                <w:szCs w:val="20"/>
              </w:rPr>
              <w:t>sqlserver</w:t>
            </w:r>
            <w:proofErr w:type="spellEnd"/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E38DB" w14:textId="77777777" w:rsidR="00F9658F" w:rsidRPr="00F86290" w:rsidRDefault="00F9658F" w:rsidP="00F965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86290">
              <w:rPr>
                <w:rFonts w:cstheme="minorHAnsi"/>
                <w:sz w:val="20"/>
                <w:szCs w:val="20"/>
              </w:rPr>
              <w:t>SQL Server DB Schnittstelle verwenden</w:t>
            </w:r>
          </w:p>
        </w:tc>
      </w:tr>
      <w:tr w:rsidR="00F9658F" w:rsidRPr="00F86290" w14:paraId="1B017638" w14:textId="77777777" w:rsidTr="00F039BA">
        <w:trPr>
          <w:trHeight w:val="60"/>
          <w:tblCellSpacing w:w="15" w:type="dxa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DB891" w14:textId="77777777" w:rsidR="00F9658F" w:rsidRPr="00F86290" w:rsidRDefault="00F9658F" w:rsidP="00F9658F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F86290">
              <w:rPr>
                <w:rFonts w:cstheme="minorHAnsi"/>
                <w:color w:val="000000"/>
                <w:sz w:val="20"/>
                <w:szCs w:val="20"/>
              </w:rPr>
              <w:t>-server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E59A2" w14:textId="77777777" w:rsidR="00F9658F" w:rsidRPr="00F86290" w:rsidRDefault="00F9658F" w:rsidP="00F965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86290">
              <w:rPr>
                <w:rFonts w:cstheme="minorHAnsi"/>
                <w:sz w:val="20"/>
                <w:szCs w:val="20"/>
              </w:rPr>
              <w:t>IP-Adresse oder DNS Name des SQL Servers</w:t>
            </w:r>
          </w:p>
        </w:tc>
      </w:tr>
      <w:tr w:rsidR="00F9658F" w:rsidRPr="00F86290" w14:paraId="65200179" w14:textId="77777777" w:rsidTr="00F039BA">
        <w:trPr>
          <w:trHeight w:val="60"/>
          <w:tblCellSpacing w:w="15" w:type="dxa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0F812" w14:textId="77777777" w:rsidR="00F9658F" w:rsidRPr="00F86290" w:rsidRDefault="00F9658F" w:rsidP="00F9658F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F86290">
              <w:rPr>
                <w:rFonts w:cstheme="minorHAnsi"/>
                <w:color w:val="000000"/>
                <w:sz w:val="20"/>
                <w:szCs w:val="20"/>
              </w:rPr>
              <w:t>-</w:t>
            </w:r>
            <w:proofErr w:type="spellStart"/>
            <w:r w:rsidRPr="00F86290">
              <w:rPr>
                <w:rFonts w:cstheme="minorHAnsi"/>
                <w:color w:val="000000"/>
                <w:sz w:val="20"/>
                <w:szCs w:val="20"/>
              </w:rPr>
              <w:t>essca</w:t>
            </w:r>
            <w:proofErr w:type="spellEnd"/>
            <w:r w:rsidRPr="00F8629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98714" w14:textId="77777777" w:rsidR="00F9658F" w:rsidRPr="00F86290" w:rsidRDefault="00F9658F" w:rsidP="00F965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86290">
              <w:rPr>
                <w:rFonts w:cstheme="minorHAnsi"/>
                <w:sz w:val="20"/>
                <w:szCs w:val="20"/>
              </w:rPr>
              <w:t>ESSCA Variante (EU) aktivieren</w:t>
            </w:r>
          </w:p>
        </w:tc>
      </w:tr>
      <w:tr w:rsidR="00F9658F" w:rsidRPr="00F86290" w14:paraId="0D1D979E" w14:textId="77777777" w:rsidTr="00F039BA">
        <w:trPr>
          <w:trHeight w:val="60"/>
          <w:tblCellSpacing w:w="15" w:type="dxa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57ECA" w14:textId="77777777" w:rsidR="00F9658F" w:rsidRPr="00F86290" w:rsidRDefault="00F9658F" w:rsidP="00F9658F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F86290">
              <w:rPr>
                <w:rFonts w:cstheme="minorHAnsi"/>
                <w:color w:val="000000"/>
                <w:sz w:val="20"/>
                <w:szCs w:val="20"/>
              </w:rPr>
              <w:t>-log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DBA36" w14:textId="77777777" w:rsidR="00F9658F" w:rsidRPr="00F86290" w:rsidRDefault="00F9658F" w:rsidP="00F965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86290">
              <w:rPr>
                <w:rFonts w:cstheme="minorHAnsi"/>
                <w:sz w:val="20"/>
                <w:szCs w:val="20"/>
              </w:rPr>
              <w:t>Fehler-Protokolldatei erstellen (Anfügemodus)</w:t>
            </w:r>
          </w:p>
        </w:tc>
      </w:tr>
      <w:tr w:rsidR="00F9658F" w:rsidRPr="00F86290" w14:paraId="73137B6D" w14:textId="77777777" w:rsidTr="00F039BA">
        <w:trPr>
          <w:trHeight w:val="60"/>
          <w:tblCellSpacing w:w="15" w:type="dxa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E2E63" w14:textId="77777777" w:rsidR="00F9658F" w:rsidRPr="00F86290" w:rsidRDefault="00F9658F" w:rsidP="00F9658F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F86290">
              <w:rPr>
                <w:rFonts w:cstheme="minorHAnsi"/>
                <w:color w:val="000000"/>
                <w:sz w:val="20"/>
                <w:szCs w:val="20"/>
              </w:rPr>
              <w:t>-pass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66954" w14:textId="77777777" w:rsidR="00F9658F" w:rsidRPr="00F86290" w:rsidRDefault="00F9658F" w:rsidP="00F965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86290">
              <w:rPr>
                <w:rFonts w:cstheme="minorHAnsi"/>
                <w:sz w:val="20"/>
                <w:szCs w:val="20"/>
              </w:rPr>
              <w:t>Benutzeranmeldung als DB-Anmeldung verwenden</w:t>
            </w:r>
          </w:p>
        </w:tc>
      </w:tr>
      <w:tr w:rsidR="00F9658F" w:rsidRPr="00F86290" w14:paraId="4B1AD838" w14:textId="77777777" w:rsidTr="00F039BA">
        <w:trPr>
          <w:trHeight w:val="60"/>
          <w:tblCellSpacing w:w="15" w:type="dxa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3027A" w14:textId="77777777" w:rsidR="00F9658F" w:rsidRPr="00F86290" w:rsidRDefault="00F9658F" w:rsidP="00F965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86290">
              <w:rPr>
                <w:rFonts w:cstheme="minorHAnsi"/>
                <w:sz w:val="20"/>
                <w:szCs w:val="20"/>
              </w:rPr>
              <w:t xml:space="preserve">-report 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2E227" w14:textId="77777777" w:rsidR="00F9658F" w:rsidRPr="00F86290" w:rsidRDefault="00F9658F" w:rsidP="00F965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86290">
              <w:rPr>
                <w:rFonts w:cstheme="minorHAnsi"/>
                <w:sz w:val="20"/>
                <w:szCs w:val="20"/>
              </w:rPr>
              <w:t>Direktaufruf WinAlldat Net Reporting - SQLite DB</w:t>
            </w:r>
          </w:p>
        </w:tc>
      </w:tr>
      <w:tr w:rsidR="00F9658F" w:rsidRPr="00F86290" w14:paraId="1451D8B1" w14:textId="77777777" w:rsidTr="00F039BA">
        <w:trPr>
          <w:trHeight w:val="60"/>
          <w:tblCellSpacing w:w="15" w:type="dxa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5C551" w14:textId="77777777" w:rsidR="00F9658F" w:rsidRPr="00F86290" w:rsidRDefault="00F9658F" w:rsidP="00F965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86290">
              <w:rPr>
                <w:rFonts w:cstheme="minorHAnsi"/>
                <w:sz w:val="20"/>
                <w:szCs w:val="20"/>
              </w:rPr>
              <w:t>-update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FA0A0" w14:textId="77777777" w:rsidR="00F9658F" w:rsidRPr="00F86290" w:rsidRDefault="00F9658F" w:rsidP="00F965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86290">
              <w:rPr>
                <w:rFonts w:cstheme="minorHAnsi"/>
                <w:sz w:val="20"/>
                <w:szCs w:val="20"/>
              </w:rPr>
              <w:t>Auf Update überprüfen [Dateipfad Intranet-Update]</w:t>
            </w:r>
          </w:p>
        </w:tc>
      </w:tr>
      <w:tr w:rsidR="00F9658F" w:rsidRPr="00F86290" w14:paraId="3A72ED9E" w14:textId="77777777" w:rsidTr="00F039BA">
        <w:trPr>
          <w:trHeight w:val="60"/>
          <w:tblCellSpacing w:w="15" w:type="dxa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2CB7B" w14:textId="77777777" w:rsidR="00F9658F" w:rsidRPr="00F86290" w:rsidRDefault="00F9658F" w:rsidP="00F965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86290">
              <w:rPr>
                <w:rFonts w:cstheme="minorHAnsi"/>
                <w:sz w:val="20"/>
                <w:szCs w:val="20"/>
              </w:rPr>
              <w:t>-</w:t>
            </w:r>
            <w:proofErr w:type="spellStart"/>
            <w:r w:rsidRPr="00F86290">
              <w:rPr>
                <w:rFonts w:cstheme="minorHAnsi"/>
                <w:sz w:val="20"/>
                <w:szCs w:val="20"/>
              </w:rPr>
              <w:t>dbupdate</w:t>
            </w:r>
            <w:proofErr w:type="spellEnd"/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4E49B" w14:textId="77777777" w:rsidR="00F9658F" w:rsidRPr="00F86290" w:rsidRDefault="00F9658F" w:rsidP="00F965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86290">
              <w:rPr>
                <w:rFonts w:cstheme="minorHAnsi"/>
                <w:sz w:val="20"/>
                <w:szCs w:val="20"/>
              </w:rPr>
              <w:t>Verfügbare DB Updates werden via SQL ausgeführt (</w:t>
            </w:r>
            <w:proofErr w:type="spellStart"/>
            <w:r w:rsidRPr="00F86290">
              <w:rPr>
                <w:rFonts w:cstheme="minorHAnsi"/>
                <w:sz w:val="20"/>
                <w:szCs w:val="20"/>
              </w:rPr>
              <w:t>force</w:t>
            </w:r>
            <w:proofErr w:type="spellEnd"/>
            <w:r w:rsidRPr="00F86290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F9658F" w:rsidRPr="00F86290" w14:paraId="4FDE5325" w14:textId="77777777" w:rsidTr="00F039BA">
        <w:trPr>
          <w:trHeight w:val="60"/>
          <w:tblCellSpacing w:w="15" w:type="dxa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2A209" w14:textId="77777777" w:rsidR="00F9658F" w:rsidRPr="00F86290" w:rsidRDefault="00F9658F" w:rsidP="00F965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86290">
              <w:rPr>
                <w:rFonts w:cstheme="minorHAnsi"/>
                <w:sz w:val="20"/>
                <w:szCs w:val="20"/>
              </w:rPr>
              <w:t>-</w:t>
            </w:r>
            <w:proofErr w:type="spellStart"/>
            <w:r w:rsidRPr="00F86290">
              <w:rPr>
                <w:rFonts w:cstheme="minorHAnsi"/>
                <w:sz w:val="20"/>
                <w:szCs w:val="20"/>
              </w:rPr>
              <w:t>dbbackup</w:t>
            </w:r>
            <w:proofErr w:type="spellEnd"/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F12BA" w14:textId="77777777" w:rsidR="00F9658F" w:rsidRPr="00F86290" w:rsidRDefault="00F9658F" w:rsidP="00F965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86290">
              <w:rPr>
                <w:rFonts w:cstheme="minorHAnsi"/>
                <w:sz w:val="20"/>
                <w:szCs w:val="20"/>
              </w:rPr>
              <w:t>[</w:t>
            </w:r>
            <w:proofErr w:type="spellStart"/>
            <w:r w:rsidRPr="00F86290">
              <w:rPr>
                <w:rFonts w:cstheme="minorHAnsi"/>
                <w:sz w:val="20"/>
                <w:szCs w:val="20"/>
              </w:rPr>
              <w:t>drive</w:t>
            </w:r>
            <w:proofErr w:type="spellEnd"/>
            <w:proofErr w:type="gramStart"/>
            <w:r w:rsidRPr="00F86290">
              <w:rPr>
                <w:rFonts w:cstheme="minorHAnsi"/>
                <w:sz w:val="20"/>
                <w:szCs w:val="20"/>
              </w:rPr>
              <w:t>:][</w:t>
            </w:r>
            <w:proofErr w:type="gramEnd"/>
            <w:r w:rsidRPr="00F86290">
              <w:rPr>
                <w:rFonts w:cstheme="minorHAnsi"/>
                <w:sz w:val="20"/>
                <w:szCs w:val="20"/>
              </w:rPr>
              <w:t>\</w:t>
            </w:r>
            <w:proofErr w:type="spellStart"/>
            <w:r w:rsidRPr="00F86290">
              <w:rPr>
                <w:rFonts w:cstheme="minorHAnsi"/>
                <w:sz w:val="20"/>
                <w:szCs w:val="20"/>
              </w:rPr>
              <w:t>backupdirectory</w:t>
            </w:r>
            <w:proofErr w:type="spellEnd"/>
            <w:r w:rsidRPr="00F86290">
              <w:rPr>
                <w:rFonts w:cstheme="minorHAnsi"/>
                <w:sz w:val="20"/>
                <w:szCs w:val="20"/>
              </w:rPr>
              <w:t>] erzeugt Datenbank-Backup</w:t>
            </w:r>
          </w:p>
        </w:tc>
      </w:tr>
      <w:tr w:rsidR="00F9658F" w:rsidRPr="00F86290" w14:paraId="2899C920" w14:textId="77777777" w:rsidTr="00F039BA">
        <w:trPr>
          <w:trHeight w:val="60"/>
          <w:tblCellSpacing w:w="15" w:type="dxa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889BC" w14:textId="77777777" w:rsidR="00F9658F" w:rsidRPr="00F86290" w:rsidRDefault="00F9658F" w:rsidP="00F965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86290">
              <w:rPr>
                <w:rFonts w:cstheme="minorHAnsi"/>
                <w:sz w:val="20"/>
                <w:szCs w:val="20"/>
              </w:rPr>
              <w:t>-</w:t>
            </w:r>
            <w:proofErr w:type="spellStart"/>
            <w:r w:rsidRPr="00F86290">
              <w:rPr>
                <w:rFonts w:cstheme="minorHAnsi"/>
                <w:sz w:val="20"/>
                <w:szCs w:val="20"/>
              </w:rPr>
              <w:t>dkgcopy</w:t>
            </w:r>
            <w:proofErr w:type="spellEnd"/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8BC39" w14:textId="77777777" w:rsidR="00F9658F" w:rsidRPr="00F86290" w:rsidRDefault="00F9658F" w:rsidP="00F965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86290">
              <w:rPr>
                <w:rFonts w:cstheme="minorHAnsi"/>
                <w:sz w:val="20"/>
                <w:szCs w:val="20"/>
              </w:rPr>
              <w:t>DKG-Testreihen zum Duplizieren in Kliniktestreihen anzeigen</w:t>
            </w:r>
          </w:p>
        </w:tc>
      </w:tr>
      <w:tr w:rsidR="00F9658F" w:rsidRPr="00F86290" w14:paraId="6E8C3ABB" w14:textId="77777777" w:rsidTr="00F039BA">
        <w:trPr>
          <w:trHeight w:val="60"/>
          <w:tblCellSpacing w:w="15" w:type="dxa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59230" w14:textId="77777777" w:rsidR="00F9658F" w:rsidRPr="00F86290" w:rsidRDefault="00F9658F" w:rsidP="00F965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86290">
              <w:rPr>
                <w:rFonts w:cstheme="minorHAnsi"/>
                <w:sz w:val="20"/>
                <w:szCs w:val="20"/>
              </w:rPr>
              <w:t>-</w:t>
            </w:r>
            <w:proofErr w:type="spellStart"/>
            <w:r w:rsidRPr="00F86290">
              <w:rPr>
                <w:rFonts w:cstheme="minorHAnsi"/>
                <w:sz w:val="20"/>
                <w:szCs w:val="20"/>
              </w:rPr>
              <w:t>dbbackuppass</w:t>
            </w:r>
            <w:proofErr w:type="spellEnd"/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612CD" w14:textId="77777777" w:rsidR="00F9658F" w:rsidRPr="00F86290" w:rsidRDefault="00F9658F" w:rsidP="00F965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86290">
              <w:rPr>
                <w:rFonts w:cstheme="minorHAnsi"/>
                <w:sz w:val="20"/>
                <w:szCs w:val="20"/>
              </w:rPr>
              <w:t>Optionales Passwort für Datenbank-Backup mit -</w:t>
            </w:r>
            <w:proofErr w:type="spellStart"/>
            <w:r w:rsidRPr="00F86290">
              <w:rPr>
                <w:rFonts w:cstheme="minorHAnsi"/>
                <w:sz w:val="20"/>
                <w:szCs w:val="20"/>
              </w:rPr>
              <w:t>dbbackup</w:t>
            </w:r>
            <w:proofErr w:type="spellEnd"/>
          </w:p>
        </w:tc>
      </w:tr>
      <w:tr w:rsidR="00F9658F" w:rsidRPr="00F86290" w14:paraId="3448C540" w14:textId="77777777" w:rsidTr="00F039BA">
        <w:trPr>
          <w:trHeight w:val="60"/>
          <w:tblCellSpacing w:w="15" w:type="dxa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6064E" w14:textId="77777777" w:rsidR="00F9658F" w:rsidRPr="00F86290" w:rsidRDefault="00F9658F" w:rsidP="00F965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86290">
              <w:rPr>
                <w:rFonts w:cstheme="minorHAnsi"/>
                <w:sz w:val="20"/>
                <w:szCs w:val="20"/>
              </w:rPr>
              <w:t>-</w:t>
            </w:r>
            <w:proofErr w:type="spellStart"/>
            <w:r w:rsidRPr="00F86290">
              <w:rPr>
                <w:rFonts w:cstheme="minorHAnsi"/>
                <w:sz w:val="20"/>
                <w:szCs w:val="20"/>
              </w:rPr>
              <w:t>globalpath</w:t>
            </w:r>
            <w:proofErr w:type="spellEnd"/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CA73E" w14:textId="77777777" w:rsidR="00F9658F" w:rsidRPr="00F86290" w:rsidRDefault="00F9658F" w:rsidP="00F965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86290">
              <w:rPr>
                <w:rFonts w:cstheme="minorHAnsi"/>
                <w:sz w:val="20"/>
                <w:szCs w:val="20"/>
              </w:rPr>
              <w:t>SQL-Server: gemeinsames Verzeichnis für winalldatnetpwd.ini</w:t>
            </w:r>
          </w:p>
        </w:tc>
      </w:tr>
      <w:tr w:rsidR="00F9658F" w:rsidRPr="00F86290" w14:paraId="6E8271CF" w14:textId="77777777" w:rsidTr="00F039BA">
        <w:trPr>
          <w:trHeight w:val="60"/>
          <w:tblCellSpacing w:w="15" w:type="dxa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3E5EA" w14:textId="77777777" w:rsidR="00F9658F" w:rsidRPr="00F86290" w:rsidRDefault="00F9658F" w:rsidP="00F965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86290">
              <w:rPr>
                <w:rFonts w:cstheme="minorHAnsi"/>
                <w:sz w:val="20"/>
                <w:szCs w:val="20"/>
              </w:rPr>
              <w:t>-</w:t>
            </w:r>
            <w:proofErr w:type="spellStart"/>
            <w:r w:rsidRPr="00F86290">
              <w:rPr>
                <w:rFonts w:cstheme="minorHAnsi"/>
                <w:sz w:val="20"/>
                <w:szCs w:val="20"/>
              </w:rPr>
              <w:t>readonlyinstall</w:t>
            </w:r>
            <w:proofErr w:type="spellEnd"/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82EA8" w14:textId="77777777" w:rsidR="00F9658F" w:rsidRPr="00F86290" w:rsidRDefault="00F9658F" w:rsidP="00F965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86290">
              <w:rPr>
                <w:rFonts w:cstheme="minorHAnsi"/>
                <w:sz w:val="20"/>
                <w:szCs w:val="20"/>
              </w:rPr>
              <w:t>Nur in Kombination mit Parameter "</w:t>
            </w:r>
            <w:proofErr w:type="spellStart"/>
            <w:r w:rsidRPr="00F86290">
              <w:rPr>
                <w:rFonts w:cstheme="minorHAnsi"/>
                <w:sz w:val="20"/>
                <w:szCs w:val="20"/>
              </w:rPr>
              <w:t>globalpath</w:t>
            </w:r>
            <w:proofErr w:type="spellEnd"/>
            <w:r w:rsidRPr="00F86290">
              <w:rPr>
                <w:rFonts w:cstheme="minorHAnsi"/>
                <w:sz w:val="20"/>
                <w:szCs w:val="20"/>
              </w:rPr>
              <w:t xml:space="preserve">" </w:t>
            </w:r>
            <w:proofErr w:type="spellStart"/>
            <w:r w:rsidRPr="00F86290">
              <w:rPr>
                <w:rFonts w:cstheme="minorHAnsi"/>
                <w:sz w:val="20"/>
                <w:szCs w:val="20"/>
              </w:rPr>
              <w:t>zweckmässig</w:t>
            </w:r>
            <w:proofErr w:type="spellEnd"/>
          </w:p>
          <w:p w14:paraId="4602A50B" w14:textId="77777777" w:rsidR="00F9658F" w:rsidRPr="00F86290" w:rsidRDefault="00F9658F" w:rsidP="00F965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86290">
              <w:rPr>
                <w:rFonts w:cstheme="minorHAnsi"/>
                <w:sz w:val="20"/>
                <w:szCs w:val="20"/>
              </w:rPr>
              <w:t>für den schreibgeschützenten Betrieb in Terminal-Umgebungen</w:t>
            </w:r>
          </w:p>
        </w:tc>
      </w:tr>
      <w:tr w:rsidR="00F9658F" w:rsidRPr="00F86290" w14:paraId="1A25924A" w14:textId="77777777" w:rsidTr="00F039BA">
        <w:trPr>
          <w:trHeight w:val="60"/>
          <w:tblCellSpacing w:w="15" w:type="dxa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4F1BC" w14:textId="77777777" w:rsidR="00F9658F" w:rsidRPr="00F86290" w:rsidRDefault="00F9658F" w:rsidP="00F965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86290">
              <w:rPr>
                <w:rFonts w:cstheme="minorHAnsi"/>
                <w:sz w:val="20"/>
                <w:szCs w:val="20"/>
              </w:rPr>
              <w:t>-</w:t>
            </w:r>
            <w:proofErr w:type="spellStart"/>
            <w:r w:rsidRPr="00F86290">
              <w:rPr>
                <w:rFonts w:cstheme="minorHAnsi"/>
                <w:sz w:val="20"/>
                <w:szCs w:val="20"/>
              </w:rPr>
              <w:t>localdbadmin</w:t>
            </w:r>
            <w:proofErr w:type="spellEnd"/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A838D" w14:textId="77777777" w:rsidR="00F9658F" w:rsidRPr="00F86290" w:rsidRDefault="00F9658F" w:rsidP="00F9658F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F86290">
              <w:rPr>
                <w:rFonts w:cstheme="minorHAnsi"/>
                <w:b/>
                <w:bCs/>
                <w:sz w:val="20"/>
                <w:szCs w:val="20"/>
              </w:rPr>
              <w:t>–</w:t>
            </w:r>
            <w:proofErr w:type="spellStart"/>
            <w:r w:rsidRPr="00F86290">
              <w:rPr>
                <w:rFonts w:cstheme="minorHAnsi"/>
                <w:b/>
                <w:bCs/>
                <w:sz w:val="20"/>
                <w:szCs w:val="20"/>
              </w:rPr>
              <w:t>localimportexportadmin</w:t>
            </w:r>
            <w:proofErr w:type="spellEnd"/>
            <w:r w:rsidRPr="00F86290">
              <w:rPr>
                <w:rFonts w:cstheme="minorHAnsi"/>
                <w:b/>
                <w:bCs/>
                <w:sz w:val="20"/>
                <w:szCs w:val="20"/>
              </w:rPr>
              <w:t>: u.a. Migration von Access auf SQL-Server</w:t>
            </w:r>
          </w:p>
        </w:tc>
      </w:tr>
      <w:tr w:rsidR="00F9658F" w:rsidRPr="00F86290" w14:paraId="601A8685" w14:textId="77777777" w:rsidTr="00F039BA">
        <w:trPr>
          <w:trHeight w:val="60"/>
          <w:tblCellSpacing w:w="15" w:type="dxa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9E119" w14:textId="77777777" w:rsidR="00F9658F" w:rsidRPr="00F86290" w:rsidRDefault="00F9658F" w:rsidP="00F965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86290">
              <w:rPr>
                <w:rFonts w:cstheme="minorHAnsi"/>
                <w:sz w:val="20"/>
                <w:szCs w:val="20"/>
              </w:rPr>
              <w:t>-</w:t>
            </w:r>
            <w:proofErr w:type="spellStart"/>
            <w:r w:rsidRPr="00F86290">
              <w:rPr>
                <w:rFonts w:cstheme="minorHAnsi"/>
                <w:sz w:val="20"/>
                <w:szCs w:val="20"/>
              </w:rPr>
              <w:t>localreport</w:t>
            </w:r>
            <w:proofErr w:type="spellEnd"/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D491C" w14:textId="77777777" w:rsidR="00F9658F" w:rsidRPr="00F86290" w:rsidRDefault="00F9658F" w:rsidP="00F965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86290">
              <w:rPr>
                <w:rFonts w:cstheme="minorHAnsi"/>
                <w:sz w:val="20"/>
                <w:szCs w:val="20"/>
              </w:rPr>
              <w:t>Verwendung lokaler SQLite Reportdatenbank statt SQL-Server</w:t>
            </w:r>
          </w:p>
        </w:tc>
      </w:tr>
      <w:tr w:rsidR="00F9658F" w:rsidRPr="00F86290" w14:paraId="53B98C58" w14:textId="77777777" w:rsidTr="00F039BA">
        <w:trPr>
          <w:trHeight w:val="60"/>
          <w:tblCellSpacing w:w="15" w:type="dxa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783DD" w14:textId="77777777" w:rsidR="00F9658F" w:rsidRPr="00F86290" w:rsidRDefault="00F9658F" w:rsidP="00F965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86290">
              <w:rPr>
                <w:rFonts w:cstheme="minorHAnsi"/>
                <w:sz w:val="20"/>
                <w:szCs w:val="20"/>
              </w:rPr>
              <w:t>-</w:t>
            </w:r>
            <w:proofErr w:type="spellStart"/>
            <w:r w:rsidRPr="00F86290">
              <w:rPr>
                <w:rFonts w:cstheme="minorHAnsi"/>
                <w:sz w:val="20"/>
                <w:szCs w:val="20"/>
              </w:rPr>
              <w:t>extendedgender</w:t>
            </w:r>
            <w:proofErr w:type="spellEnd"/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AB689" w14:textId="77777777" w:rsidR="00F9658F" w:rsidRPr="00F86290" w:rsidRDefault="00F9658F" w:rsidP="00F965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86290">
              <w:rPr>
                <w:rFonts w:cstheme="minorHAnsi"/>
                <w:sz w:val="20"/>
                <w:szCs w:val="20"/>
              </w:rPr>
              <w:t>Drittes Geschlecht aktivieren (i=intersexuell/d=divers)</w:t>
            </w:r>
          </w:p>
        </w:tc>
      </w:tr>
      <w:tr w:rsidR="00F9658F" w:rsidRPr="00F86290" w14:paraId="12BFDC1F" w14:textId="77777777" w:rsidTr="00F039BA">
        <w:trPr>
          <w:trHeight w:val="60"/>
          <w:tblCellSpacing w:w="15" w:type="dxa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9FF5D" w14:textId="77777777" w:rsidR="00F9658F" w:rsidRPr="00F86290" w:rsidRDefault="00F9658F" w:rsidP="00F965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86290">
              <w:rPr>
                <w:rFonts w:cstheme="minorHAnsi"/>
                <w:sz w:val="20"/>
                <w:szCs w:val="20"/>
              </w:rPr>
              <w:t>-x64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63BC6" w14:textId="77777777" w:rsidR="00F9658F" w:rsidRPr="00F86290" w:rsidRDefault="00F9658F" w:rsidP="00F965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86290">
              <w:rPr>
                <w:rFonts w:cstheme="minorHAnsi"/>
                <w:sz w:val="20"/>
                <w:szCs w:val="20"/>
              </w:rPr>
              <w:t>64bit Programmversion verwenden (z.B. mit MS Office 64bit)</w:t>
            </w:r>
          </w:p>
        </w:tc>
      </w:tr>
      <w:tr w:rsidR="00F9658F" w:rsidRPr="00F86290" w14:paraId="6BE55108" w14:textId="77777777" w:rsidTr="00F039BA">
        <w:trPr>
          <w:trHeight w:val="60"/>
          <w:tblCellSpacing w:w="15" w:type="dxa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C45C9" w14:textId="77777777" w:rsidR="00F9658F" w:rsidRPr="00F86290" w:rsidRDefault="00F9658F" w:rsidP="00F965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86290">
              <w:rPr>
                <w:rFonts w:cstheme="minorHAnsi"/>
                <w:sz w:val="20"/>
                <w:szCs w:val="20"/>
              </w:rPr>
              <w:t>-</w:t>
            </w:r>
            <w:proofErr w:type="spellStart"/>
            <w:r w:rsidRPr="00F86290">
              <w:rPr>
                <w:rFonts w:cstheme="minorHAnsi"/>
                <w:sz w:val="20"/>
                <w:szCs w:val="20"/>
              </w:rPr>
              <w:t>systeminfo</w:t>
            </w:r>
            <w:proofErr w:type="spellEnd"/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E2D87" w14:textId="77777777" w:rsidR="00F9658F" w:rsidRPr="00F86290" w:rsidRDefault="00F9658F" w:rsidP="00F965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86290">
              <w:rPr>
                <w:rFonts w:cstheme="minorHAnsi"/>
                <w:sz w:val="20"/>
                <w:szCs w:val="20"/>
              </w:rPr>
              <w:t>Systeminformationen direkt in Textdatei schreiben</w:t>
            </w:r>
          </w:p>
        </w:tc>
      </w:tr>
      <w:tr w:rsidR="00F9658F" w:rsidRPr="00F86290" w14:paraId="630532D1" w14:textId="77777777" w:rsidTr="00F039BA">
        <w:trPr>
          <w:trHeight w:val="240"/>
          <w:tblCellSpacing w:w="15" w:type="dxa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29A90" w14:textId="77777777" w:rsidR="00F9658F" w:rsidRPr="00F86290" w:rsidRDefault="00F9658F" w:rsidP="00F9658F">
            <w:pPr>
              <w:spacing w:after="0"/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  <w:r w:rsidRPr="00F86290"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Pr="00F86290"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  <w:t>dataexportnoqm</w:t>
            </w:r>
            <w:proofErr w:type="spellEnd"/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06D7C" w14:textId="77777777" w:rsidR="00F9658F" w:rsidRPr="00F86290" w:rsidRDefault="00F9658F" w:rsidP="00F965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86290">
              <w:rPr>
                <w:rFonts w:cstheme="minorHAnsi"/>
                <w:sz w:val="20"/>
                <w:szCs w:val="20"/>
              </w:rPr>
              <w:t>Deaktivierung QS vor der Datenübertragung durch den IVDK Support</w:t>
            </w:r>
          </w:p>
        </w:tc>
      </w:tr>
      <w:tr w:rsidR="00F9658F" w:rsidRPr="00F86290" w14:paraId="39583F38" w14:textId="77777777" w:rsidTr="00F039BA">
        <w:trPr>
          <w:trHeight w:val="315"/>
          <w:tblCellSpacing w:w="15" w:type="dxa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B7708" w14:textId="77777777" w:rsidR="00F9658F" w:rsidRPr="00F86290" w:rsidRDefault="00F9658F" w:rsidP="00F9658F">
            <w:pPr>
              <w:spacing w:after="0"/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</w:pPr>
            <w:r w:rsidRPr="00F86290"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  <w:t>-fw4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25874" w14:textId="77777777" w:rsidR="00F9658F" w:rsidRPr="00F86290" w:rsidRDefault="00F9658F" w:rsidP="00F965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86290">
              <w:rPr>
                <w:rFonts w:cstheme="minorHAnsi"/>
                <w:sz w:val="20"/>
                <w:szCs w:val="20"/>
              </w:rPr>
              <w:t>Internet Update verwendet die Framework 4 Programmversion falls .NET 6 oder neuer nicht verfügbar ist bzw. blockiert wird</w:t>
            </w:r>
          </w:p>
        </w:tc>
      </w:tr>
    </w:tbl>
    <w:p w14:paraId="2E0B8638" w14:textId="72DBC2ED" w:rsidR="00032BDD" w:rsidRPr="004A2CDD" w:rsidRDefault="004A2CDD" w:rsidP="00032BDD">
      <w:pPr>
        <w:spacing w:after="0"/>
        <w:rPr>
          <w:b/>
          <w:bCs/>
          <w:sz w:val="24"/>
          <w:szCs w:val="24"/>
        </w:rPr>
      </w:pPr>
      <w:r>
        <w:rPr>
          <w:b/>
          <w:bCs/>
        </w:rPr>
        <w:br/>
      </w:r>
      <w:r w:rsidR="00032BDD" w:rsidRPr="004A2CDD">
        <w:rPr>
          <w:b/>
          <w:bCs/>
          <w:sz w:val="24"/>
          <w:szCs w:val="24"/>
        </w:rPr>
        <w:t>Wichtige Änderungen in WinAlldat Net 2.</w:t>
      </w:r>
      <w:r>
        <w:rPr>
          <w:b/>
          <w:bCs/>
          <w:sz w:val="24"/>
          <w:szCs w:val="24"/>
        </w:rPr>
        <w:t>1</w:t>
      </w:r>
      <w:r w:rsidR="00032BDD" w:rsidRPr="004A2CDD">
        <w:rPr>
          <w:b/>
          <w:bCs/>
          <w:sz w:val="24"/>
          <w:szCs w:val="24"/>
        </w:rPr>
        <w:t xml:space="preserve"> im Überblick</w:t>
      </w:r>
    </w:p>
    <w:p w14:paraId="0B28D209" w14:textId="77777777" w:rsidR="00032BDD" w:rsidRDefault="00032BDD" w:rsidP="00032BDD">
      <w:pPr>
        <w:spacing w:after="0"/>
      </w:pPr>
      <w:r>
        <w:rPr>
          <w:b/>
          <w:bCs/>
        </w:rPr>
        <w:t>WinAlldatNet.exe</w:t>
      </w:r>
      <w:r>
        <w:t xml:space="preserve"> enthält folgende Komponenten und Funktionen</w:t>
      </w:r>
    </w:p>
    <w:p w14:paraId="380E65E2" w14:textId="77777777" w:rsidR="00032BDD" w:rsidRDefault="00032BDD" w:rsidP="00032BD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>
        <w:t>Tagesroutine, Dienstprogramme, Internet- und Intranet-Update</w:t>
      </w:r>
    </w:p>
    <w:p w14:paraId="1B6754F0" w14:textId="77777777" w:rsidR="00032BDD" w:rsidRDefault="00032BDD" w:rsidP="00032BD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>
        <w:rPr>
          <w:rStyle w:val="Hyperlink"/>
        </w:rPr>
        <w:t>DKG</w:t>
      </w:r>
      <w:r>
        <w:t>-Testreihen Updates, Anamnesefragebogen und andere Dokumente</w:t>
      </w:r>
    </w:p>
    <w:p w14:paraId="663239C0" w14:textId="77777777" w:rsidR="00032BDD" w:rsidRDefault="00032BDD" w:rsidP="00032BD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>
        <w:t>Qualitätskontrolle und Datenübertragung</w:t>
      </w:r>
    </w:p>
    <w:p w14:paraId="2FDE6E4A" w14:textId="77777777" w:rsidR="00032BDD" w:rsidRDefault="00032BDD" w:rsidP="00032BD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>
        <w:t>Berichte und Listen - WinAlldat Net Reporting</w:t>
      </w:r>
    </w:p>
    <w:p w14:paraId="0339EA2C" w14:textId="77777777" w:rsidR="00032BDD" w:rsidRDefault="00032BDD" w:rsidP="00032BD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>
        <w:t>WinAlldat Net Hilfe und WinAlldat Net Leitfaden wurden aktualisiert</w:t>
      </w:r>
    </w:p>
    <w:p w14:paraId="5FD952EE" w14:textId="77777777" w:rsidR="00032BDD" w:rsidRDefault="00032BDD" w:rsidP="00032BD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>
        <w:t>Online Hilfe:   https://winalldatnet.ivdk.org/hilfe</w:t>
      </w:r>
    </w:p>
    <w:p w14:paraId="2F4F501A" w14:textId="186A2C6C" w:rsidR="00FA0CD2" w:rsidRDefault="00032BDD" w:rsidP="00032BD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>
        <w:t xml:space="preserve">Online Video: </w:t>
      </w:r>
      <w:hyperlink r:id="rId11" w:history="1">
        <w:r w:rsidR="00FA0CD2" w:rsidRPr="00980403">
          <w:rPr>
            <w:rStyle w:val="Hyperlink"/>
            <w:rFonts w:asciiTheme="minorHAnsi" w:hAnsiTheme="minorHAnsi" w:cstheme="minorBidi"/>
          </w:rPr>
          <w:t>https://winalldatnet.ivdk.org/video</w:t>
        </w:r>
      </w:hyperlink>
    </w:p>
    <w:p w14:paraId="3BBEF0B2" w14:textId="3C36FACF" w:rsidR="00032BDD" w:rsidRDefault="00FA0CD2" w:rsidP="00FA0CD2">
      <w:r>
        <w:br w:type="page"/>
      </w:r>
    </w:p>
    <w:p w14:paraId="3C5673B6" w14:textId="77777777" w:rsidR="00F9658F" w:rsidRDefault="00F9658F" w:rsidP="00F9658F">
      <w:pPr>
        <w:pStyle w:val="berschrift4"/>
        <w:rPr>
          <w:rFonts w:ascii="Verdana" w:hAnsi="Verdana" w:cs="Verdana"/>
        </w:rPr>
      </w:pPr>
      <w:r>
        <w:rPr>
          <w:rFonts w:ascii="Verdana" w:hAnsi="Verdana" w:cs="Verdana"/>
        </w:rPr>
        <w:lastRenderedPageBreak/>
        <w:t>WinAlldat Net DB Änderungen R18 (2021)</w:t>
      </w:r>
    </w:p>
    <w:p w14:paraId="5BA1E5D5" w14:textId="77777777" w:rsidR="00F9658F" w:rsidRDefault="00F9658F" w:rsidP="00F9658F">
      <w:pPr>
        <w:pStyle w:val="berschrift4"/>
        <w:rPr>
          <w:rFonts w:ascii="Verdana" w:hAnsi="Verdana" w:cs="Verdana"/>
        </w:rPr>
      </w:pPr>
    </w:p>
    <w:p w14:paraId="6CFAF89D" w14:textId="77777777" w:rsidR="00F9658F" w:rsidRDefault="00F9658F" w:rsidP="00F9658F">
      <w:pPr>
        <w:spacing w:after="0"/>
      </w:pPr>
      <w:r>
        <w:t>Änderung des DKG Updates: Umstellung von 9 temporären Tabellen auf permanente Tabellen im Rahmen der Migration von Access "dkgupdate.mdb" auf die SQLite Datei "dkgupdate.db3":</w:t>
      </w:r>
    </w:p>
    <w:p w14:paraId="73208FE0" w14:textId="77777777" w:rsidR="00F9658F" w:rsidRDefault="00F9658F" w:rsidP="00F9658F">
      <w:pPr>
        <w:spacing w:after="0"/>
      </w:pPr>
      <w:r>
        <w:t>Es werden folgende Tabellen neu angelegt bzw. auf persistente DB Objekte umgestellt:</w:t>
      </w:r>
    </w:p>
    <w:p w14:paraId="433C737E" w14:textId="77777777" w:rsidR="00F9658F" w:rsidRDefault="00F9658F" w:rsidP="00F9658F">
      <w:pPr>
        <w:spacing w:after="0"/>
      </w:pPr>
      <w:proofErr w:type="spellStart"/>
      <w:r>
        <w:t>tblCloseOldTestSeriesDKG</w:t>
      </w:r>
      <w:proofErr w:type="spellEnd"/>
      <w:r>
        <w:t xml:space="preserve">, </w:t>
      </w:r>
      <w:proofErr w:type="spellStart"/>
      <w:r>
        <w:t>tblNewTestSeriesDKG</w:t>
      </w:r>
      <w:proofErr w:type="spellEnd"/>
      <w:r>
        <w:t xml:space="preserve">, </w:t>
      </w:r>
      <w:proofErr w:type="spellStart"/>
      <w:r>
        <w:t>tblTestSeriesNotUsedDKG</w:t>
      </w:r>
      <w:proofErr w:type="spellEnd"/>
      <w:r>
        <w:t xml:space="preserve">, </w:t>
      </w:r>
      <w:proofErr w:type="spellStart"/>
      <w:r>
        <w:t>tblTestSeriesNotUsedDKG</w:t>
      </w:r>
      <w:proofErr w:type="spellEnd"/>
      <w:r>
        <w:t xml:space="preserve">, </w:t>
      </w:r>
      <w:proofErr w:type="spellStart"/>
      <w:r>
        <w:t>tblSortedTestsubstances</w:t>
      </w:r>
      <w:proofErr w:type="spellEnd"/>
      <w:r>
        <w:t xml:space="preserve">, </w:t>
      </w:r>
      <w:proofErr w:type="spellStart"/>
      <w:r>
        <w:t>tblBlockDKG</w:t>
      </w:r>
      <w:proofErr w:type="spellEnd"/>
      <w:r>
        <w:t xml:space="preserve">, </w:t>
      </w:r>
      <w:proofErr w:type="spellStart"/>
      <w:r>
        <w:t>tblBlockSubstDKG</w:t>
      </w:r>
      <w:proofErr w:type="spellEnd"/>
      <w:r>
        <w:t xml:space="preserve">, </w:t>
      </w:r>
      <w:proofErr w:type="spellStart"/>
      <w:r>
        <w:t>tblSubstanceDKG</w:t>
      </w:r>
      <w:proofErr w:type="spellEnd"/>
      <w:r>
        <w:t xml:space="preserve"> und </w:t>
      </w:r>
      <w:proofErr w:type="spellStart"/>
      <w:r>
        <w:t>tblTestSubstDKG</w:t>
      </w:r>
      <w:proofErr w:type="spellEnd"/>
    </w:p>
    <w:p w14:paraId="01279101" w14:textId="77777777" w:rsidR="00F9658F" w:rsidRDefault="00F9658F" w:rsidP="00F9658F">
      <w:pPr>
        <w:pStyle w:val="berschrift4"/>
        <w:rPr>
          <w:rFonts w:ascii="Verdana" w:hAnsi="Verdana" w:cs="Verdana"/>
        </w:rPr>
      </w:pPr>
    </w:p>
    <w:p w14:paraId="65F279E0" w14:textId="754B0142" w:rsidR="00F9658F" w:rsidRPr="001E4BA8" w:rsidRDefault="00F9658F" w:rsidP="00F9658F">
      <w:pPr>
        <w:pStyle w:val="berschrift4"/>
        <w:rPr>
          <w:rFonts w:ascii="Verdana" w:hAnsi="Verdana" w:cs="Verdana"/>
          <w:lang w:val="de-DE"/>
        </w:rPr>
      </w:pPr>
      <w:r>
        <w:rPr>
          <w:rFonts w:ascii="Verdana" w:hAnsi="Verdana" w:cs="Verdana"/>
        </w:rPr>
        <w:t>WinAlldat Net DB Änderungen R1-R</w:t>
      </w:r>
      <w:r w:rsidR="001E4BA8">
        <w:rPr>
          <w:rFonts w:ascii="Verdana" w:hAnsi="Verdana" w:cs="Verdana"/>
          <w:lang w:val="de-DE"/>
        </w:rPr>
        <w:t>21</w:t>
      </w:r>
    </w:p>
    <w:p w14:paraId="223A6E27" w14:textId="77777777" w:rsidR="00F9658F" w:rsidRDefault="00F9658F" w:rsidP="00F9658F">
      <w:pPr>
        <w:spacing w:after="0"/>
      </w:pPr>
      <w:r>
        <w:rPr>
          <w:b/>
          <w:bCs/>
        </w:rPr>
        <w:t xml:space="preserve">Tabelle </w:t>
      </w:r>
      <w:proofErr w:type="spellStart"/>
      <w:r>
        <w:rPr>
          <w:b/>
          <w:bCs/>
        </w:rPr>
        <w:t>tblCaseIVDK</w:t>
      </w:r>
      <w:proofErr w:type="spellEnd"/>
      <w:r>
        <w:rPr>
          <w:b/>
          <w:bCs/>
        </w:rPr>
        <w:t xml:space="preserve">: </w:t>
      </w:r>
      <w:r>
        <w:t xml:space="preserve">Neues Feld </w:t>
      </w:r>
      <w:proofErr w:type="spellStart"/>
      <w:r>
        <w:t>statement_of_agreement</w:t>
      </w:r>
      <w:proofErr w:type="spellEnd"/>
      <w:r>
        <w:t xml:space="preserve"> Datentyp </w:t>
      </w:r>
      <w:proofErr w:type="spellStart"/>
      <w:proofErr w:type="gramStart"/>
      <w:r>
        <w:t>nvarchar</w:t>
      </w:r>
      <w:proofErr w:type="spellEnd"/>
      <w:r>
        <w:t>(</w:t>
      </w:r>
      <w:proofErr w:type="gramEnd"/>
      <w:r>
        <w:t xml:space="preserve">1) </w:t>
      </w:r>
    </w:p>
    <w:p w14:paraId="36A0A310" w14:textId="77777777" w:rsidR="00F9658F" w:rsidRDefault="00F9658F" w:rsidP="00F9658F">
      <w:pPr>
        <w:spacing w:after="0"/>
      </w:pPr>
      <w:r>
        <w:t>Patient hat Datenübertragung an den IVDK zugestimmt, NULL (Altfälle) oder J (Voreingestellt) = Zustimmung, N = Ablehnung</w:t>
      </w:r>
    </w:p>
    <w:p w14:paraId="4B9C6EEF" w14:textId="77777777" w:rsidR="00F9658F" w:rsidRDefault="00F9658F" w:rsidP="00F9658F">
      <w:pPr>
        <w:spacing w:after="0"/>
      </w:pPr>
      <w:r>
        <w:t xml:space="preserve">Geändertes Feld diag_1_other Datentyp erweitert auf </w:t>
      </w:r>
      <w:proofErr w:type="spellStart"/>
      <w:proofErr w:type="gramStart"/>
      <w:r>
        <w:t>nvarchar</w:t>
      </w:r>
      <w:proofErr w:type="spellEnd"/>
      <w:r>
        <w:t>(</w:t>
      </w:r>
      <w:proofErr w:type="gramEnd"/>
      <w:r>
        <w:t>40)</w:t>
      </w:r>
    </w:p>
    <w:p w14:paraId="4B58A3A9" w14:textId="77777777" w:rsidR="00F9658F" w:rsidRDefault="00F9658F" w:rsidP="00F9658F">
      <w:pPr>
        <w:spacing w:after="0"/>
      </w:pPr>
      <w:r>
        <w:t xml:space="preserve">Geändertes Feld loc_1_other Datentyp erweitert auf </w:t>
      </w:r>
      <w:proofErr w:type="spellStart"/>
      <w:proofErr w:type="gramStart"/>
      <w:r>
        <w:t>nvarchar</w:t>
      </w:r>
      <w:proofErr w:type="spellEnd"/>
      <w:r>
        <w:t>(</w:t>
      </w:r>
      <w:proofErr w:type="gramEnd"/>
      <w:r>
        <w:t>40)</w:t>
      </w:r>
    </w:p>
    <w:p w14:paraId="228B6642" w14:textId="77777777" w:rsidR="00F9658F" w:rsidRDefault="00F9658F" w:rsidP="00F9658F">
      <w:pPr>
        <w:spacing w:after="0"/>
      </w:pPr>
      <w:r>
        <w:t xml:space="preserve">Geändertes Feld diag_2_other Datentyp erweitert auf </w:t>
      </w:r>
      <w:proofErr w:type="spellStart"/>
      <w:proofErr w:type="gramStart"/>
      <w:r>
        <w:t>nvarchar</w:t>
      </w:r>
      <w:proofErr w:type="spellEnd"/>
      <w:r>
        <w:t>(</w:t>
      </w:r>
      <w:proofErr w:type="gramEnd"/>
      <w:r>
        <w:t>40)</w:t>
      </w:r>
    </w:p>
    <w:p w14:paraId="58DEBFFA" w14:textId="77777777" w:rsidR="00F9658F" w:rsidRDefault="00F9658F" w:rsidP="00F9658F">
      <w:pPr>
        <w:spacing w:after="0"/>
      </w:pPr>
      <w:r>
        <w:t xml:space="preserve">Geändertes Feld loc_2_other Datentyp erweitert auf </w:t>
      </w:r>
      <w:proofErr w:type="spellStart"/>
      <w:proofErr w:type="gramStart"/>
      <w:r>
        <w:t>nvarchar</w:t>
      </w:r>
      <w:proofErr w:type="spellEnd"/>
      <w:r>
        <w:t>(</w:t>
      </w:r>
      <w:proofErr w:type="gramEnd"/>
      <w:r>
        <w:t>40)</w:t>
      </w:r>
    </w:p>
    <w:p w14:paraId="7477B707" w14:textId="77777777" w:rsidR="00F9658F" w:rsidRDefault="00F9658F" w:rsidP="00F9658F">
      <w:pPr>
        <w:spacing w:after="0"/>
      </w:pPr>
      <w:r>
        <w:rPr>
          <w:b/>
          <w:bCs/>
        </w:rPr>
        <w:t xml:space="preserve">Tabelle </w:t>
      </w:r>
      <w:proofErr w:type="spellStart"/>
      <w:r>
        <w:rPr>
          <w:b/>
          <w:bCs/>
        </w:rPr>
        <w:t>tblCaseEssca</w:t>
      </w:r>
      <w:proofErr w:type="spellEnd"/>
      <w:r>
        <w:rPr>
          <w:b/>
          <w:bCs/>
        </w:rPr>
        <w:t xml:space="preserve">: </w:t>
      </w:r>
      <w:r>
        <w:t xml:space="preserve">Neues Feld </w:t>
      </w:r>
      <w:proofErr w:type="spellStart"/>
      <w:r>
        <w:t>statement_of_agreement</w:t>
      </w:r>
      <w:proofErr w:type="spellEnd"/>
      <w:r>
        <w:t xml:space="preserve"> Datentyp </w:t>
      </w:r>
      <w:proofErr w:type="spellStart"/>
      <w:proofErr w:type="gramStart"/>
      <w:r>
        <w:t>nvarchar</w:t>
      </w:r>
      <w:proofErr w:type="spellEnd"/>
      <w:r>
        <w:t>(</w:t>
      </w:r>
      <w:proofErr w:type="gramEnd"/>
      <w:r>
        <w:t xml:space="preserve">1) </w:t>
      </w:r>
    </w:p>
    <w:p w14:paraId="2FB5863F" w14:textId="77777777" w:rsidR="00F9658F" w:rsidRDefault="00F9658F" w:rsidP="00F9658F">
      <w:pPr>
        <w:spacing w:after="0"/>
      </w:pPr>
      <w:r>
        <w:t>Patient hat Datenübertragung an den IVDK zugestimmt, NULL (Altfälle) oder J (Voreingestellt) = Zustimmung, N = Ablehnung</w:t>
      </w:r>
    </w:p>
    <w:p w14:paraId="61EBFEB8" w14:textId="77777777" w:rsidR="00F9658F" w:rsidRDefault="00F9658F" w:rsidP="00F9658F">
      <w:pPr>
        <w:spacing w:after="0"/>
      </w:pPr>
      <w:r>
        <w:rPr>
          <w:b/>
          <w:bCs/>
        </w:rPr>
        <w:t xml:space="preserve">Tabelle </w:t>
      </w:r>
      <w:proofErr w:type="spellStart"/>
      <w:r>
        <w:rPr>
          <w:b/>
          <w:bCs/>
        </w:rPr>
        <w:t>tblAna_text</w:t>
      </w:r>
      <w:proofErr w:type="spellEnd"/>
      <w:r>
        <w:rPr>
          <w:b/>
          <w:bCs/>
        </w:rPr>
        <w:t xml:space="preserve">: </w:t>
      </w:r>
      <w:proofErr w:type="spellStart"/>
      <w:r>
        <w:t>addonfieldtext</w:t>
      </w:r>
      <w:proofErr w:type="spellEnd"/>
      <w:r>
        <w:t xml:space="preserve"> </w:t>
      </w:r>
      <w:proofErr w:type="spellStart"/>
      <w:proofErr w:type="gramStart"/>
      <w:r>
        <w:t>char</w:t>
      </w:r>
      <w:proofErr w:type="spellEnd"/>
      <w:r>
        <w:t>(</w:t>
      </w:r>
      <w:proofErr w:type="gramEnd"/>
      <w:r>
        <w:t xml:space="preserve">40) erweitert auf </w:t>
      </w:r>
      <w:proofErr w:type="spellStart"/>
      <w:r>
        <w:t>char</w:t>
      </w:r>
      <w:proofErr w:type="spellEnd"/>
      <w:r>
        <w:t>(80)</w:t>
      </w:r>
    </w:p>
    <w:p w14:paraId="3597BEE6" w14:textId="77777777" w:rsidR="00F9658F" w:rsidRDefault="00F9658F" w:rsidP="00F9658F">
      <w:pPr>
        <w:spacing w:after="0"/>
      </w:pPr>
      <w:r>
        <w:rPr>
          <w:b/>
          <w:bCs/>
        </w:rPr>
        <w:t xml:space="preserve">Tabelle </w:t>
      </w:r>
      <w:proofErr w:type="spellStart"/>
      <w:r>
        <w:rPr>
          <w:b/>
          <w:bCs/>
        </w:rPr>
        <w:t>tblSubstance</w:t>
      </w:r>
      <w:proofErr w:type="spellEnd"/>
      <w:r>
        <w:rPr>
          <w:b/>
          <w:bCs/>
        </w:rPr>
        <w:t xml:space="preserve">: </w:t>
      </w:r>
      <w:r>
        <w:t xml:space="preserve">Geändertes Feld </w:t>
      </w:r>
      <w:proofErr w:type="spellStart"/>
      <w:r>
        <w:t>substancename</w:t>
      </w:r>
      <w:proofErr w:type="spellEnd"/>
      <w:r>
        <w:t xml:space="preserve"> Datentyp erweitert auf </w:t>
      </w:r>
      <w:proofErr w:type="spellStart"/>
      <w:proofErr w:type="gramStart"/>
      <w:r>
        <w:t>nvarchar</w:t>
      </w:r>
      <w:proofErr w:type="spellEnd"/>
      <w:r>
        <w:t>(</w:t>
      </w:r>
      <w:proofErr w:type="gramEnd"/>
      <w:r>
        <w:t>80)</w:t>
      </w:r>
    </w:p>
    <w:p w14:paraId="1983402B" w14:textId="77777777" w:rsidR="00F9658F" w:rsidRDefault="00F9658F" w:rsidP="00F9658F">
      <w:pPr>
        <w:spacing w:after="0"/>
      </w:pPr>
      <w:r>
        <w:rPr>
          <w:b/>
          <w:bCs/>
        </w:rPr>
        <w:t xml:space="preserve">Tabelle </w:t>
      </w:r>
      <w:proofErr w:type="spellStart"/>
      <w:r>
        <w:rPr>
          <w:b/>
          <w:bCs/>
        </w:rPr>
        <w:t>tblPatblocksubst</w:t>
      </w:r>
      <w:proofErr w:type="spellEnd"/>
      <w:r>
        <w:rPr>
          <w:b/>
          <w:bCs/>
        </w:rPr>
        <w:t xml:space="preserve">: </w:t>
      </w:r>
      <w:r>
        <w:t xml:space="preserve">Geändertes Feld </w:t>
      </w:r>
      <w:proofErr w:type="spellStart"/>
      <w:r>
        <w:t>esubst_name</w:t>
      </w:r>
      <w:proofErr w:type="spellEnd"/>
      <w:r>
        <w:t xml:space="preserve"> Datentyp erweitert auf </w:t>
      </w:r>
      <w:proofErr w:type="spellStart"/>
      <w:proofErr w:type="gramStart"/>
      <w:r>
        <w:t>nvarchar</w:t>
      </w:r>
      <w:proofErr w:type="spellEnd"/>
      <w:r>
        <w:t>(</w:t>
      </w:r>
      <w:proofErr w:type="gramEnd"/>
      <w:r>
        <w:t>80)</w:t>
      </w:r>
    </w:p>
    <w:p w14:paraId="5B417774" w14:textId="77777777" w:rsidR="00F9658F" w:rsidRDefault="00F9658F" w:rsidP="00F9658F">
      <w:pPr>
        <w:spacing w:after="0"/>
      </w:pPr>
      <w:r>
        <w:rPr>
          <w:b/>
          <w:bCs/>
        </w:rPr>
        <w:t xml:space="preserve">Tabelle </w:t>
      </w:r>
      <w:proofErr w:type="spellStart"/>
      <w:r>
        <w:rPr>
          <w:b/>
          <w:bCs/>
        </w:rPr>
        <w:t>tblAnamExtended</w:t>
      </w:r>
      <w:proofErr w:type="spellEnd"/>
      <w:r>
        <w:t xml:space="preserve"> </w:t>
      </w:r>
      <w:proofErr w:type="spellStart"/>
      <w:r>
        <w:t>fallid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, </w:t>
      </w:r>
      <w:proofErr w:type="spellStart"/>
      <w:r>
        <w:t>smoker</w:t>
      </w:r>
      <w:proofErr w:type="spellEnd"/>
      <w:r>
        <w:t xml:space="preserve"> </w:t>
      </w:r>
      <w:proofErr w:type="spellStart"/>
      <w:r>
        <w:t>int</w:t>
      </w:r>
      <w:proofErr w:type="spellEnd"/>
      <w:r>
        <w:t xml:space="preserve">, </w:t>
      </w:r>
      <w:proofErr w:type="spellStart"/>
      <w:r>
        <w:t>smoke_from</w:t>
      </w:r>
      <w:proofErr w:type="spellEnd"/>
      <w:r>
        <w:t xml:space="preserve"> </w:t>
      </w:r>
      <w:proofErr w:type="spellStart"/>
      <w:proofErr w:type="gramStart"/>
      <w:r>
        <w:t>char</w:t>
      </w:r>
      <w:proofErr w:type="spellEnd"/>
      <w:r>
        <w:t>(</w:t>
      </w:r>
      <w:proofErr w:type="gramEnd"/>
      <w:r>
        <w:t xml:space="preserve">4), </w:t>
      </w:r>
      <w:proofErr w:type="spellStart"/>
      <w:r>
        <w:t>smoke_to</w:t>
      </w:r>
      <w:proofErr w:type="spellEnd"/>
      <w:r>
        <w:t xml:space="preserve"> </w:t>
      </w:r>
      <w:proofErr w:type="spellStart"/>
      <w:r>
        <w:t>char</w:t>
      </w:r>
      <w:proofErr w:type="spellEnd"/>
      <w:r>
        <w:t>(4),</w:t>
      </w:r>
    </w:p>
    <w:p w14:paraId="79908211" w14:textId="77777777" w:rsidR="00F9658F" w:rsidRDefault="00F9658F" w:rsidP="00F9658F">
      <w:pPr>
        <w:spacing w:after="0"/>
        <w:ind w:firstLine="720"/>
      </w:pPr>
      <w:proofErr w:type="spellStart"/>
      <w:r>
        <w:t>smoke_cigarettes</w:t>
      </w:r>
      <w:proofErr w:type="spellEnd"/>
      <w:r>
        <w:t xml:space="preserve"> </w:t>
      </w:r>
      <w:proofErr w:type="spellStart"/>
      <w:r>
        <w:t>decimal</w:t>
      </w:r>
      <w:proofErr w:type="spellEnd"/>
      <w:r>
        <w:t xml:space="preserve"> (10,2), </w:t>
      </w:r>
      <w:proofErr w:type="spellStart"/>
      <w:r>
        <w:t>smoke_comment</w:t>
      </w:r>
      <w:proofErr w:type="spellEnd"/>
      <w:r>
        <w:t xml:space="preserve"> </w:t>
      </w:r>
      <w:proofErr w:type="spellStart"/>
      <w:proofErr w:type="gramStart"/>
      <w:r>
        <w:t>char</w:t>
      </w:r>
      <w:proofErr w:type="spellEnd"/>
      <w:r>
        <w:t>(</w:t>
      </w:r>
      <w:proofErr w:type="gramEnd"/>
      <w:r>
        <w:t xml:space="preserve">255), tattoo_t1 </w:t>
      </w:r>
      <w:proofErr w:type="spellStart"/>
      <w:r>
        <w:t>int</w:t>
      </w:r>
      <w:proofErr w:type="spellEnd"/>
      <w:r>
        <w:t xml:space="preserve">, tattoo_t2 </w:t>
      </w:r>
      <w:proofErr w:type="spellStart"/>
      <w:r>
        <w:t>int</w:t>
      </w:r>
      <w:proofErr w:type="spellEnd"/>
      <w:r>
        <w:t>,</w:t>
      </w:r>
    </w:p>
    <w:p w14:paraId="72DF1B63" w14:textId="65631FFE" w:rsidR="0091604E" w:rsidRDefault="00F9658F" w:rsidP="0091604E">
      <w:pPr>
        <w:spacing w:after="0"/>
        <w:ind w:firstLine="720"/>
        <w:rPr>
          <w:rFonts w:ascii="Segoe UI" w:hAnsi="Segoe UI" w:cs="Segoe UI"/>
          <w:color w:val="212121"/>
          <w:shd w:val="clear" w:color="auto" w:fill="FFFFFF"/>
        </w:rPr>
      </w:pPr>
      <w:r>
        <w:rPr>
          <w:rFonts w:ascii="Segoe UI" w:hAnsi="Segoe UI" w:cs="Segoe UI"/>
          <w:color w:val="212121"/>
          <w:shd w:val="clear" w:color="auto" w:fill="FFFFFF"/>
        </w:rPr>
        <w:t xml:space="preserve">height_k1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int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, weight_k2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int</w:t>
      </w:r>
      <w:proofErr w:type="spellEnd"/>
      <w:r w:rsidR="0091604E">
        <w:rPr>
          <w:rFonts w:ascii="Segoe UI" w:hAnsi="Segoe UI" w:cs="Segoe UI"/>
          <w:color w:val="212121"/>
          <w:shd w:val="clear" w:color="auto" w:fill="FFFFFF"/>
        </w:rPr>
        <w:t xml:space="preserve">, </w:t>
      </w:r>
      <w:r w:rsidR="0091604E" w:rsidRPr="0091604E">
        <w:rPr>
          <w:rFonts w:ascii="Segoe UI" w:hAnsi="Segoe UI" w:cs="Segoe UI"/>
          <w:color w:val="212121"/>
          <w:shd w:val="clear" w:color="auto" w:fill="FFFFFF"/>
        </w:rPr>
        <w:t xml:space="preserve">Immunmodulation_I1 </w:t>
      </w:r>
      <w:proofErr w:type="spellStart"/>
      <w:r w:rsidR="0091604E" w:rsidRPr="0091604E">
        <w:rPr>
          <w:rFonts w:ascii="Segoe UI" w:hAnsi="Segoe UI" w:cs="Segoe UI"/>
          <w:color w:val="212121"/>
          <w:shd w:val="clear" w:color="auto" w:fill="FFFFFF"/>
        </w:rPr>
        <w:t>int</w:t>
      </w:r>
      <w:proofErr w:type="spellEnd"/>
      <w:r w:rsidR="0091604E" w:rsidRPr="0091604E">
        <w:rPr>
          <w:rFonts w:ascii="Segoe UI" w:hAnsi="Segoe UI" w:cs="Segoe UI"/>
          <w:color w:val="212121"/>
          <w:shd w:val="clear" w:color="auto" w:fill="FFFFFF"/>
        </w:rPr>
        <w:t xml:space="preserve">, Immunmodulation_I2 </w:t>
      </w:r>
      <w:proofErr w:type="spellStart"/>
      <w:r w:rsidR="0091604E" w:rsidRPr="0091604E">
        <w:rPr>
          <w:rFonts w:ascii="Segoe UI" w:hAnsi="Segoe UI" w:cs="Segoe UI"/>
          <w:color w:val="212121"/>
          <w:shd w:val="clear" w:color="auto" w:fill="FFFFFF"/>
        </w:rPr>
        <w:t>int</w:t>
      </w:r>
      <w:proofErr w:type="spellEnd"/>
      <w:r w:rsidR="0091604E" w:rsidRPr="0091604E">
        <w:rPr>
          <w:rFonts w:ascii="Segoe UI" w:hAnsi="Segoe UI" w:cs="Segoe UI"/>
          <w:color w:val="212121"/>
          <w:shd w:val="clear" w:color="auto" w:fill="FFFFFF"/>
        </w:rPr>
        <w:t xml:space="preserve">, </w:t>
      </w:r>
    </w:p>
    <w:p w14:paraId="37DAB9B7" w14:textId="17CB892F" w:rsidR="00F9658F" w:rsidRDefault="0091604E" w:rsidP="0091604E">
      <w:pPr>
        <w:spacing w:after="0"/>
        <w:ind w:firstLine="720"/>
        <w:rPr>
          <w:rFonts w:ascii="Segoe UI" w:hAnsi="Segoe UI" w:cs="Segoe UI"/>
          <w:color w:val="212121"/>
          <w:shd w:val="clear" w:color="auto" w:fill="FFFFFF"/>
        </w:rPr>
      </w:pPr>
      <w:r w:rsidRPr="0091604E">
        <w:rPr>
          <w:rFonts w:ascii="Segoe UI" w:hAnsi="Segoe UI" w:cs="Segoe UI"/>
          <w:color w:val="212121"/>
          <w:shd w:val="clear" w:color="auto" w:fill="FFFFFF"/>
        </w:rPr>
        <w:t xml:space="preserve">Immunmodulation_I3 </w:t>
      </w:r>
      <w:proofErr w:type="spellStart"/>
      <w:r w:rsidRPr="0091604E">
        <w:rPr>
          <w:rFonts w:ascii="Segoe UI" w:hAnsi="Segoe UI" w:cs="Segoe UI"/>
          <w:color w:val="212121"/>
          <w:shd w:val="clear" w:color="auto" w:fill="FFFFFF"/>
        </w:rPr>
        <w:t>int</w:t>
      </w:r>
      <w:proofErr w:type="spellEnd"/>
    </w:p>
    <w:p w14:paraId="5D137EEA" w14:textId="77777777" w:rsidR="00F9658F" w:rsidRDefault="00F9658F" w:rsidP="00F9658F">
      <w:pPr>
        <w:spacing w:after="0"/>
      </w:pPr>
    </w:p>
    <w:p w14:paraId="4FF8C441" w14:textId="77777777" w:rsidR="00F9658F" w:rsidRDefault="00F9658F" w:rsidP="00F9658F">
      <w:pPr>
        <w:pStyle w:val="berschrift4"/>
        <w:rPr>
          <w:rFonts w:ascii="Verdana" w:hAnsi="Verdana" w:cs="Verdana"/>
        </w:rPr>
      </w:pPr>
      <w:r>
        <w:rPr>
          <w:rFonts w:ascii="Verdana" w:hAnsi="Verdana" w:cs="Verdana"/>
        </w:rPr>
        <w:t>Informationen zum Mehrbenutzerbetrieb unter Microsoft Access</w:t>
      </w:r>
    </w:p>
    <w:p w14:paraId="158DC503" w14:textId="77777777" w:rsidR="00F9658F" w:rsidRDefault="00F9658F" w:rsidP="00F9658F">
      <w:pPr>
        <w:spacing w:after="0"/>
      </w:pPr>
      <w:r>
        <w:br/>
        <w:t xml:space="preserve">Auf Grund neuer Anforderungen (Mehrbenutzerbetrieb mit 2-10 Clients, mehrere DB-Schnittstellen: wir unterstützen nun </w:t>
      </w:r>
      <w:proofErr w:type="spellStart"/>
      <w:r>
        <w:t>ausser</w:t>
      </w:r>
      <w:proofErr w:type="spellEnd"/>
      <w:r>
        <w:t xml:space="preserve"> MS Access noch den SQL Server und SQL Lite als Datenbank-Backend) haben wir den Datenbankzugriff flexibler gestaltet. Dadurch bedingt ist das Datenbank-Caching aus </w:t>
      </w:r>
      <w:proofErr w:type="spellStart"/>
      <w:r>
        <w:t>Winalldat</w:t>
      </w:r>
      <w:proofErr w:type="spellEnd"/>
      <w:r>
        <w:t xml:space="preserve"> IVDK entfallen, so dass der Datenbankzugriff langsamer erfolgt.</w:t>
      </w:r>
    </w:p>
    <w:p w14:paraId="7ACBBDEE" w14:textId="77777777" w:rsidR="00F9658F" w:rsidRDefault="00F9658F" w:rsidP="00F9658F">
      <w:pPr>
        <w:spacing w:after="0"/>
      </w:pPr>
      <w:r>
        <w:t xml:space="preserve">Die Daten zu jedem Fall/Patienten werden nun beim Wechsel des Falles in WinAlldat Net direkt aus der DB gelesen und befinden sich nicht mehr komplett im Arbeitsspeicher. Die bisherige sehr schnelle </w:t>
      </w:r>
      <w:proofErr w:type="spellStart"/>
      <w:r>
        <w:t>inMemory</w:t>
      </w:r>
      <w:proofErr w:type="spellEnd"/>
      <w:r>
        <w:t xml:space="preserve"> Verarbeitung (DB-Caching von winalldativdk.mdb) wurde zu Gunsten eines stabilen und zuverlässigen Mehrbenutzerbetriebs umgestellt. Das bisherige manuelle und </w:t>
      </w:r>
      <w:proofErr w:type="spellStart"/>
      <w:r>
        <w:t>regelmässige</w:t>
      </w:r>
      <w:proofErr w:type="spellEnd"/>
      <w:r>
        <w:t xml:space="preserve"> Aktualisieren der </w:t>
      </w:r>
      <w:proofErr w:type="spellStart"/>
      <w:r>
        <w:t>InMemory</w:t>
      </w:r>
      <w:proofErr w:type="spellEnd"/>
      <w:r>
        <w:t xml:space="preserve"> Datenbank-Kopie entfällt nun in der neuen IVDK Software.</w:t>
      </w:r>
    </w:p>
    <w:p w14:paraId="75425C5A" w14:textId="77777777" w:rsidR="00F9658F" w:rsidRDefault="00F9658F" w:rsidP="00F9658F">
      <w:pPr>
        <w:spacing w:after="0"/>
      </w:pPr>
      <w:r>
        <w:t>Aktuelle, leistungsfähige PC Systeme mit Mehrkern-Prozessoren werden bei der Druckvorschau und der Verarbeitung Vorteile bringen, allerdings wird dies nur wenig Einfluss auf die DB- Zugriffsgeschwindigkeit haben. Ebenso wichtig ist ein performanter Server (Windows-Freigabe/Share) bzgl. I/O und ein gut skaliertes Netzwerk mit ausreichender Bandbreite. Zur Ermittlung der WinAlldat Net Gesamtleistung steht ihnen unter WinAlldat Net ein Telemetrietest zur Verfügung. Siehe hierzu die Videoanleitung: https://winalldatnet.ivdk.org/video/winalldatnet_telemetry.mp4</w:t>
      </w:r>
      <w:bookmarkStart w:id="1" w:name="_GoBack"/>
      <w:bookmarkEnd w:id="1"/>
    </w:p>
    <w:sectPr w:rsidR="00F9658F" w:rsidSect="00E33E10">
      <w:pgSz w:w="11906" w:h="16838"/>
      <w:pgMar w:top="720" w:right="1416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8E4E6" w14:textId="77777777" w:rsidR="0068344A" w:rsidRDefault="0068344A" w:rsidP="003C457F">
      <w:pPr>
        <w:spacing w:after="0" w:line="240" w:lineRule="auto"/>
      </w:pPr>
      <w:r>
        <w:separator/>
      </w:r>
    </w:p>
  </w:endnote>
  <w:endnote w:type="continuationSeparator" w:id="0">
    <w:p w14:paraId="1A56EF32" w14:textId="77777777" w:rsidR="0068344A" w:rsidRDefault="0068344A" w:rsidP="003C4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7178C" w14:textId="77777777" w:rsidR="0068344A" w:rsidRDefault="0068344A" w:rsidP="003C457F">
      <w:pPr>
        <w:spacing w:after="0" w:line="240" w:lineRule="auto"/>
      </w:pPr>
      <w:r>
        <w:separator/>
      </w:r>
    </w:p>
  </w:footnote>
  <w:footnote w:type="continuationSeparator" w:id="0">
    <w:p w14:paraId="06C7CA53" w14:textId="77777777" w:rsidR="0068344A" w:rsidRDefault="0068344A" w:rsidP="003C4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53F9"/>
    <w:multiLevelType w:val="hybridMultilevel"/>
    <w:tmpl w:val="5BD46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2F0B0"/>
    <w:multiLevelType w:val="multilevel"/>
    <w:tmpl w:val="1D3E3CEF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2" w15:restartNumberingAfterBreak="0">
    <w:nsid w:val="1A142C73"/>
    <w:multiLevelType w:val="hybridMultilevel"/>
    <w:tmpl w:val="00A865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18E7C"/>
    <w:multiLevelType w:val="multilevel"/>
    <w:tmpl w:val="395C4DB2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54EEC"/>
    <w:rsid w:val="00032BDD"/>
    <w:rsid w:val="00086803"/>
    <w:rsid w:val="000A18E8"/>
    <w:rsid w:val="000E224E"/>
    <w:rsid w:val="00112C9A"/>
    <w:rsid w:val="00114ADC"/>
    <w:rsid w:val="001E2C53"/>
    <w:rsid w:val="001E4BA8"/>
    <w:rsid w:val="001F225F"/>
    <w:rsid w:val="001F53E0"/>
    <w:rsid w:val="00247720"/>
    <w:rsid w:val="0029126E"/>
    <w:rsid w:val="00291DB8"/>
    <w:rsid w:val="002D4F1D"/>
    <w:rsid w:val="003078C5"/>
    <w:rsid w:val="00352A15"/>
    <w:rsid w:val="003735EE"/>
    <w:rsid w:val="003739F3"/>
    <w:rsid w:val="003B451F"/>
    <w:rsid w:val="003C457F"/>
    <w:rsid w:val="003D69A9"/>
    <w:rsid w:val="004251AE"/>
    <w:rsid w:val="004914A2"/>
    <w:rsid w:val="004A2159"/>
    <w:rsid w:val="004A2CDD"/>
    <w:rsid w:val="004B68DC"/>
    <w:rsid w:val="00506BE1"/>
    <w:rsid w:val="005164D6"/>
    <w:rsid w:val="0053724D"/>
    <w:rsid w:val="005532BD"/>
    <w:rsid w:val="005D56F8"/>
    <w:rsid w:val="00632D1D"/>
    <w:rsid w:val="00634437"/>
    <w:rsid w:val="00641302"/>
    <w:rsid w:val="00654EEC"/>
    <w:rsid w:val="0068344A"/>
    <w:rsid w:val="006C7B59"/>
    <w:rsid w:val="006E1883"/>
    <w:rsid w:val="006E6E78"/>
    <w:rsid w:val="006F0022"/>
    <w:rsid w:val="00702F5F"/>
    <w:rsid w:val="0071077D"/>
    <w:rsid w:val="00745AE5"/>
    <w:rsid w:val="00751641"/>
    <w:rsid w:val="00763EC7"/>
    <w:rsid w:val="0079300C"/>
    <w:rsid w:val="007D0282"/>
    <w:rsid w:val="00871FB3"/>
    <w:rsid w:val="00882D3E"/>
    <w:rsid w:val="008C232C"/>
    <w:rsid w:val="0091604E"/>
    <w:rsid w:val="009A1C2A"/>
    <w:rsid w:val="009E0679"/>
    <w:rsid w:val="009F35A7"/>
    <w:rsid w:val="009F47DE"/>
    <w:rsid w:val="00A4113B"/>
    <w:rsid w:val="00A5353A"/>
    <w:rsid w:val="00A53C69"/>
    <w:rsid w:val="00AD54B1"/>
    <w:rsid w:val="00B337CD"/>
    <w:rsid w:val="00B36385"/>
    <w:rsid w:val="00BA0DBA"/>
    <w:rsid w:val="00BB23CA"/>
    <w:rsid w:val="00BE0EE9"/>
    <w:rsid w:val="00C27754"/>
    <w:rsid w:val="00C616E9"/>
    <w:rsid w:val="00D428E5"/>
    <w:rsid w:val="00DC7D4E"/>
    <w:rsid w:val="00DD08B2"/>
    <w:rsid w:val="00DF2149"/>
    <w:rsid w:val="00E33E10"/>
    <w:rsid w:val="00ED5951"/>
    <w:rsid w:val="00EE5F92"/>
    <w:rsid w:val="00F039BA"/>
    <w:rsid w:val="00F13A01"/>
    <w:rsid w:val="00F47E2D"/>
    <w:rsid w:val="00F834F6"/>
    <w:rsid w:val="00F8603F"/>
    <w:rsid w:val="00F86290"/>
    <w:rsid w:val="00F9658F"/>
    <w:rsid w:val="00FA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7411A"/>
  <w15:chartTrackingRefBased/>
  <w15:docId w15:val="{9FDFE4B5-6131-435D-82A2-F4A012C7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9"/>
    <w:qFormat/>
    <w:rsid w:val="0079300C"/>
    <w:pPr>
      <w:autoSpaceDE w:val="0"/>
      <w:autoSpaceDN w:val="0"/>
      <w:adjustRightInd w:val="0"/>
      <w:spacing w:after="0" w:line="240" w:lineRule="auto"/>
      <w:outlineLvl w:val="3"/>
    </w:pPr>
    <w:rPr>
      <w:rFonts w:ascii="Arial" w:hAnsi="Arial" w:cs="Arial"/>
      <w:b/>
      <w:bCs/>
      <w:color w:val="4F81BD"/>
      <w:sz w:val="24"/>
      <w:szCs w:val="24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9"/>
    <w:rsid w:val="0079300C"/>
    <w:rPr>
      <w:rFonts w:ascii="Arial" w:hAnsi="Arial" w:cs="Arial"/>
      <w:b/>
      <w:bCs/>
      <w:color w:val="4F81BD"/>
      <w:sz w:val="24"/>
      <w:szCs w:val="24"/>
      <w:lang w:val="x-none"/>
    </w:rPr>
  </w:style>
  <w:style w:type="character" w:styleId="Hyperlink">
    <w:name w:val="Hyperlink"/>
    <w:basedOn w:val="Absatz-Standardschriftart"/>
    <w:uiPriority w:val="99"/>
    <w:rsid w:val="0079300C"/>
    <w:rPr>
      <w:rFonts w:ascii="Verdana" w:hAnsi="Verdana" w:cs="Verdana"/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C232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C232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C4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457F"/>
  </w:style>
  <w:style w:type="paragraph" w:styleId="Fuzeile">
    <w:name w:val="footer"/>
    <w:basedOn w:val="Standard"/>
    <w:link w:val="FuzeileZchn"/>
    <w:uiPriority w:val="99"/>
    <w:unhideWhenUsed/>
    <w:rsid w:val="003C4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4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nalldatnet.ivdk.org/ivdksetupnet7.ex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inalldatnet.ivdk.org/video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inalldatnet.ivdk.org/ivdksetupnet.ex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C119B-3E6F-4763-95C1-BB3E6EE11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1433</Words>
  <Characters>9034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IVDK Institut Universität Göttingen</Company>
  <LinksUpToDate>false</LinksUpToDate>
  <CharactersWithSpaces>10447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Arnold</dc:creator>
  <cp:keywords/>
  <dc:description/>
  <cp:lastModifiedBy>Ronald Arnold</cp:lastModifiedBy>
  <cp:revision>67</cp:revision>
  <cp:lastPrinted>2023-06-05T18:55:00Z</cp:lastPrinted>
  <dcterms:created xsi:type="dcterms:W3CDTF">2019-05-13T17:03:00Z</dcterms:created>
  <dcterms:modified xsi:type="dcterms:W3CDTF">2023-06-05T19:25:00Z</dcterms:modified>
</cp:coreProperties>
</file>